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900" w:lineRule="exact"/>
        <w:jc w:val="center"/>
        <w:rPr>
          <w:rFonts w:hint="eastAsia" w:ascii="方正小标宋简体" w:hAnsi="黑体" w:eastAsia="方正小标宋简体" w:cs="黑体"/>
          <w:b/>
          <w:color w:val="000000"/>
          <w:sz w:val="72"/>
          <w:szCs w:val="72"/>
        </w:rPr>
      </w:pPr>
      <w:bookmarkStart w:id="0" w:name="_Toc124436001"/>
      <w:bookmarkStart w:id="1" w:name="_Toc124405372"/>
      <w:bookmarkStart w:id="2" w:name="_Toc124436588"/>
      <w:bookmarkStart w:id="3" w:name="_Toc124436769"/>
      <w:bookmarkStart w:id="4" w:name="_Toc124436444"/>
      <w:bookmarkStart w:id="5" w:name="_Toc124370487"/>
    </w:p>
    <w:p>
      <w:pPr>
        <w:widowControl/>
        <w:spacing w:line="900" w:lineRule="exact"/>
        <w:jc w:val="center"/>
        <w:rPr>
          <w:rFonts w:hint="eastAsia" w:ascii="方正小标宋简体" w:hAnsi="黑体" w:eastAsia="方正小标宋简体" w:cs="黑体"/>
          <w:b/>
          <w:color w:val="000000"/>
          <w:sz w:val="72"/>
          <w:szCs w:val="72"/>
        </w:rPr>
      </w:pPr>
    </w:p>
    <w:p>
      <w:pPr>
        <w:pStyle w:val="2"/>
        <w:rPr>
          <w:rFonts w:hint="eastAsia"/>
          <w:color w:val="000000"/>
        </w:rPr>
      </w:pPr>
    </w:p>
    <w:p>
      <w:pPr>
        <w:widowControl/>
        <w:spacing w:line="900" w:lineRule="exact"/>
        <w:jc w:val="center"/>
        <w:rPr>
          <w:rFonts w:ascii="方正小标宋简体" w:hAnsi="黑体" w:eastAsia="方正小标宋简体" w:cs="黑体"/>
          <w:b/>
          <w:color w:val="000000"/>
          <w:sz w:val="72"/>
          <w:szCs w:val="72"/>
        </w:rPr>
      </w:pPr>
      <w:r>
        <w:rPr>
          <w:rFonts w:hint="eastAsia" w:ascii="方正小标宋简体" w:hAnsi="黑体" w:eastAsia="方正小标宋简体" w:cs="黑体"/>
          <w:b/>
          <w:color w:val="000000"/>
          <w:sz w:val="72"/>
          <w:szCs w:val="72"/>
        </w:rPr>
        <w:t>护理专业</w:t>
      </w:r>
      <w:bookmarkEnd w:id="0"/>
      <w:bookmarkEnd w:id="1"/>
      <w:bookmarkEnd w:id="2"/>
      <w:bookmarkEnd w:id="3"/>
      <w:bookmarkEnd w:id="4"/>
      <w:bookmarkEnd w:id="5"/>
    </w:p>
    <w:p>
      <w:pPr>
        <w:widowControl/>
        <w:spacing w:line="900" w:lineRule="exact"/>
        <w:jc w:val="center"/>
        <w:rPr>
          <w:rFonts w:ascii="方正小标宋简体" w:hAnsi="黑体" w:eastAsia="方正小标宋简体" w:cs="黑体"/>
          <w:b/>
          <w:color w:val="000000"/>
          <w:sz w:val="72"/>
          <w:szCs w:val="72"/>
        </w:rPr>
      </w:pPr>
      <w:bookmarkStart w:id="6" w:name="_Toc124436589"/>
      <w:bookmarkStart w:id="7" w:name="_Toc124436770"/>
      <w:bookmarkStart w:id="8" w:name="_Toc124436445"/>
      <w:bookmarkStart w:id="9" w:name="_Toc124370488"/>
      <w:bookmarkStart w:id="10" w:name="_Toc124405373"/>
      <w:bookmarkStart w:id="11" w:name="_Toc124436002"/>
      <w:r>
        <w:rPr>
          <w:rFonts w:hint="eastAsia" w:ascii="方正小标宋简体" w:hAnsi="黑体" w:eastAsia="方正小标宋简体" w:cs="黑体"/>
          <w:b/>
          <w:color w:val="000000"/>
          <w:sz w:val="72"/>
          <w:szCs w:val="72"/>
        </w:rPr>
        <w:t>人才培养方案</w:t>
      </w:r>
      <w:bookmarkEnd w:id="6"/>
      <w:bookmarkEnd w:id="7"/>
      <w:bookmarkEnd w:id="8"/>
      <w:bookmarkEnd w:id="9"/>
      <w:bookmarkEnd w:id="10"/>
      <w:bookmarkEnd w:id="11"/>
    </w:p>
    <w:p>
      <w:pPr>
        <w:spacing w:line="360" w:lineRule="auto"/>
        <w:jc w:val="center"/>
        <w:rPr>
          <w:rFonts w:ascii="方正黑体_GBK" w:hAnsi="宋体" w:eastAsia="方正黑体_GBK"/>
          <w:b/>
          <w:color w:val="000000"/>
          <w:sz w:val="48"/>
          <w:szCs w:val="48"/>
        </w:rPr>
      </w:pPr>
      <w:bookmarkStart w:id="12" w:name="_Toc124405374"/>
      <w:bookmarkStart w:id="13" w:name="_Toc124370489"/>
      <w:bookmarkStart w:id="14" w:name="_Toc124436771"/>
      <w:bookmarkStart w:id="15" w:name="_Toc124436590"/>
      <w:bookmarkStart w:id="16" w:name="_Toc124436003"/>
      <w:bookmarkStart w:id="17" w:name="_Toc124436446"/>
      <w:r>
        <w:rPr>
          <w:rFonts w:hint="eastAsia" w:ascii="方正黑体_GBK" w:hAnsi="宋体" w:eastAsia="方正黑体_GBK"/>
          <w:b/>
          <w:color w:val="000000"/>
          <w:sz w:val="48"/>
          <w:szCs w:val="48"/>
        </w:rPr>
        <w:t>（202</w:t>
      </w:r>
      <w:r>
        <w:rPr>
          <w:rFonts w:hint="eastAsia" w:ascii="方正黑体_GBK" w:hAnsi="宋体" w:eastAsia="方正黑体_GBK"/>
          <w:b/>
          <w:color w:val="000000"/>
          <w:sz w:val="48"/>
          <w:szCs w:val="48"/>
          <w:lang w:val="en-US" w:eastAsia="zh-CN"/>
        </w:rPr>
        <w:t>1</w:t>
      </w:r>
      <w:r>
        <w:rPr>
          <w:rFonts w:hint="eastAsia" w:ascii="方正黑体_GBK" w:hAnsi="宋体" w:eastAsia="方正黑体_GBK"/>
          <w:b/>
          <w:color w:val="000000"/>
          <w:sz w:val="48"/>
          <w:szCs w:val="48"/>
        </w:rPr>
        <w:t>级）</w:t>
      </w:r>
      <w:bookmarkEnd w:id="12"/>
      <w:bookmarkEnd w:id="13"/>
      <w:bookmarkEnd w:id="14"/>
      <w:bookmarkEnd w:id="15"/>
      <w:bookmarkEnd w:id="16"/>
      <w:bookmarkEnd w:id="17"/>
    </w:p>
    <w:p>
      <w:pPr>
        <w:jc w:val="both"/>
        <w:rPr>
          <w:rFonts w:ascii="黑体" w:hAnsi="黑体" w:eastAsia="黑体" w:cs="黑体"/>
          <w:b/>
          <w:color w:val="000000"/>
          <w:sz w:val="40"/>
          <w:szCs w:val="40"/>
        </w:rPr>
      </w:pPr>
    </w:p>
    <w:p>
      <w:pPr>
        <w:jc w:val="center"/>
        <w:rPr>
          <w:rFonts w:ascii="黑体" w:hAnsi="黑体" w:eastAsia="黑体" w:cs="黑体"/>
          <w:b/>
          <w:color w:val="000000"/>
          <w:sz w:val="40"/>
          <w:szCs w:val="40"/>
        </w:rPr>
      </w:pPr>
    </w:p>
    <w:p>
      <w:pPr>
        <w:pStyle w:val="2"/>
        <w:rPr>
          <w:rFonts w:ascii="黑体" w:hAnsi="黑体" w:eastAsia="黑体" w:cs="黑体"/>
          <w:b/>
          <w:color w:val="000000"/>
          <w:sz w:val="40"/>
          <w:szCs w:val="40"/>
        </w:rPr>
      </w:pPr>
    </w:p>
    <w:p>
      <w:pPr>
        <w:pStyle w:val="3"/>
        <w:rPr>
          <w:rFonts w:ascii="黑体" w:hAnsi="黑体" w:eastAsia="黑体" w:cs="黑体"/>
          <w:b/>
          <w:color w:val="000000"/>
          <w:sz w:val="40"/>
          <w:szCs w:val="40"/>
        </w:rPr>
      </w:pPr>
    </w:p>
    <w:p>
      <w:pPr>
        <w:rPr>
          <w:rFonts w:ascii="黑体" w:hAnsi="黑体" w:eastAsia="黑体" w:cs="黑体"/>
          <w:b/>
          <w:color w:val="000000"/>
          <w:sz w:val="40"/>
          <w:szCs w:val="40"/>
        </w:rPr>
      </w:pPr>
    </w:p>
    <w:p>
      <w:pPr>
        <w:pStyle w:val="2"/>
        <w:rPr>
          <w:rFonts w:ascii="黑体" w:hAnsi="黑体" w:eastAsia="黑体" w:cs="黑体"/>
          <w:b/>
          <w:color w:val="000000"/>
          <w:sz w:val="40"/>
          <w:szCs w:val="40"/>
        </w:rPr>
      </w:pPr>
    </w:p>
    <w:p>
      <w:pPr>
        <w:pStyle w:val="3"/>
        <w:rPr>
          <w:rFonts w:ascii="黑体" w:hAnsi="黑体" w:eastAsia="黑体" w:cs="黑体"/>
          <w:b/>
          <w:color w:val="000000"/>
          <w:sz w:val="40"/>
          <w:szCs w:val="40"/>
        </w:rPr>
      </w:pPr>
    </w:p>
    <w:p>
      <w:pPr>
        <w:rPr>
          <w:rFonts w:ascii="黑体" w:hAnsi="黑体" w:eastAsia="黑体" w:cs="黑体"/>
          <w:b/>
          <w:color w:val="000000"/>
          <w:sz w:val="40"/>
          <w:szCs w:val="40"/>
        </w:rPr>
      </w:pPr>
    </w:p>
    <w:p>
      <w:pPr>
        <w:pStyle w:val="2"/>
        <w:rPr>
          <w:rFonts w:ascii="黑体" w:hAnsi="黑体" w:eastAsia="黑体" w:cs="黑体"/>
          <w:b/>
          <w:color w:val="000000"/>
          <w:sz w:val="40"/>
          <w:szCs w:val="40"/>
        </w:rPr>
      </w:pPr>
    </w:p>
    <w:p>
      <w:pPr>
        <w:pStyle w:val="3"/>
      </w:pPr>
    </w:p>
    <w:p>
      <w:pPr>
        <w:jc w:val="center"/>
        <w:rPr>
          <w:rFonts w:ascii="黑体" w:hAnsi="黑体" w:eastAsia="黑体" w:cs="黑体"/>
          <w:b/>
          <w:color w:val="000000"/>
          <w:sz w:val="40"/>
          <w:szCs w:val="40"/>
        </w:rPr>
      </w:pPr>
    </w:p>
    <w:p>
      <w:pPr>
        <w:tabs>
          <w:tab w:val="right" w:leader="dot" w:pos="8306"/>
        </w:tabs>
        <w:jc w:val="center"/>
        <w:rPr>
          <w:rFonts w:ascii="方正仿宋_GBK" w:hAnsi="黑体" w:eastAsia="方正仿宋_GBK" w:cs="黑体"/>
          <w:b/>
          <w:color w:val="000000"/>
          <w:sz w:val="32"/>
          <w:szCs w:val="32"/>
        </w:rPr>
      </w:pPr>
      <w:r>
        <w:rPr>
          <w:rFonts w:hint="eastAsia" w:ascii="方正仿宋_GBK" w:hAnsi="黑体" w:eastAsia="方正仿宋_GBK" w:cs="黑体"/>
          <w:b/>
          <w:color w:val="000000"/>
          <w:sz w:val="32"/>
          <w:szCs w:val="32"/>
        </w:rPr>
        <w:t>重庆市医药卫生学校</w:t>
      </w:r>
    </w:p>
    <w:p>
      <w:pPr>
        <w:tabs>
          <w:tab w:val="right" w:leader="dot" w:pos="8306"/>
        </w:tabs>
        <w:jc w:val="center"/>
        <w:rPr>
          <w:rFonts w:ascii="方正仿宋_GBK" w:hAnsi="黑体" w:eastAsia="方正仿宋_GBK" w:cs="黑体"/>
          <w:b/>
          <w:color w:val="000000"/>
          <w:sz w:val="32"/>
          <w:szCs w:val="32"/>
        </w:rPr>
        <w:sectPr>
          <w:headerReference r:id="rId3" w:type="default"/>
          <w:footerReference r:id="rId4" w:type="default"/>
          <w:pgSz w:w="11906" w:h="16838"/>
          <w:pgMar w:top="1418" w:right="1418" w:bottom="1418" w:left="1418" w:header="851" w:footer="992" w:gutter="0"/>
          <w:cols w:space="720" w:num="1"/>
          <w:docGrid w:type="lines" w:linePitch="312" w:charSpace="0"/>
        </w:sectPr>
      </w:pPr>
      <w:r>
        <w:rPr>
          <w:rFonts w:hint="eastAsia" w:ascii="方正仿宋_GBK" w:hAnsi="黑体" w:eastAsia="方正仿宋_GBK" w:cs="黑体"/>
          <w:b/>
          <w:color w:val="000000"/>
          <w:sz w:val="32"/>
          <w:szCs w:val="32"/>
        </w:rPr>
        <w:t>202</w:t>
      </w:r>
      <w:r>
        <w:rPr>
          <w:rFonts w:hint="eastAsia" w:ascii="方正仿宋_GBK" w:hAnsi="黑体" w:eastAsia="方正仿宋_GBK" w:cs="黑体"/>
          <w:b/>
          <w:color w:val="000000"/>
          <w:sz w:val="32"/>
          <w:szCs w:val="32"/>
          <w:lang w:val="en-US" w:eastAsia="zh-CN"/>
        </w:rPr>
        <w:t>1</w:t>
      </w:r>
      <w:bookmarkStart w:id="213" w:name="_GoBack"/>
      <w:bookmarkEnd w:id="213"/>
      <w:r>
        <w:rPr>
          <w:rFonts w:hint="eastAsia" w:ascii="方正仿宋_GBK" w:hAnsi="黑体" w:eastAsia="方正仿宋_GBK" w:cs="黑体"/>
          <w:b/>
          <w:color w:val="000000"/>
          <w:sz w:val="32"/>
          <w:szCs w:val="32"/>
        </w:rPr>
        <w:t>年9月</w:t>
      </w:r>
    </w:p>
    <w:p>
      <w:pPr>
        <w:keepNext/>
        <w:keepLines/>
        <w:widowControl/>
        <w:spacing w:before="480" w:line="276" w:lineRule="auto"/>
        <w:jc w:val="center"/>
        <w:rPr>
          <w:rFonts w:ascii="Cambria" w:hAnsi="Cambria"/>
          <w:b/>
          <w:bCs/>
          <w:color w:val="000000"/>
          <w:kern w:val="0"/>
          <w:sz w:val="48"/>
          <w:szCs w:val="48"/>
        </w:rPr>
      </w:pPr>
      <w:r>
        <w:rPr>
          <w:rFonts w:hint="eastAsia" w:ascii="Cambria" w:hAnsi="Cambria"/>
          <w:b/>
          <w:bCs/>
          <w:color w:val="000000"/>
          <w:kern w:val="0"/>
          <w:sz w:val="44"/>
          <w:szCs w:val="44"/>
        </w:rPr>
        <w:t>目</w:t>
      </w:r>
      <w:r>
        <w:rPr>
          <w:rFonts w:ascii="Cambria" w:hAnsi="Cambria"/>
          <w:b/>
          <w:bCs/>
          <w:color w:val="000000"/>
          <w:kern w:val="0"/>
          <w:sz w:val="44"/>
          <w:szCs w:val="44"/>
          <w:lang w:val="zh-CN"/>
        </w:rPr>
        <w:t>录</w:t>
      </w:r>
    </w:p>
    <w:p>
      <w:pPr>
        <w:tabs>
          <w:tab w:val="right" w:leader="dot" w:pos="9062"/>
        </w:tabs>
        <w:spacing w:line="400" w:lineRule="exact"/>
        <w:rPr>
          <w:rFonts w:ascii="方正仿宋_GBK" w:eastAsia="方正仿宋_GBK"/>
          <w:color w:val="000000"/>
          <w:sz w:val="28"/>
          <w:szCs w:val="28"/>
        </w:rPr>
      </w:pPr>
      <w:r>
        <w:rPr>
          <w:rFonts w:hint="eastAsia" w:ascii="方正仿宋_GBK" w:hAnsi="仿宋" w:eastAsia="方正仿宋_GBK"/>
          <w:color w:val="000000"/>
          <w:sz w:val="28"/>
          <w:szCs w:val="28"/>
        </w:rPr>
        <w:fldChar w:fldCharType="begin"/>
      </w:r>
      <w:r>
        <w:rPr>
          <w:rFonts w:hint="eastAsia" w:ascii="方正仿宋_GBK" w:hAnsi="仿宋" w:eastAsia="方正仿宋_GBK"/>
          <w:color w:val="000000"/>
          <w:sz w:val="28"/>
          <w:szCs w:val="28"/>
        </w:rPr>
        <w:instrText xml:space="preserve"> TOC \o "1-3" \h \z \u </w:instrText>
      </w:r>
      <w:r>
        <w:rPr>
          <w:rFonts w:hint="eastAsia" w:ascii="方正仿宋_GBK" w:hAnsi="仿宋" w:eastAsia="方正仿宋_GBK"/>
          <w:color w:val="000000"/>
          <w:sz w:val="28"/>
          <w:szCs w:val="28"/>
        </w:rPr>
        <w:fldChar w:fldCharType="separate"/>
      </w:r>
      <w:r>
        <w:rPr>
          <w:color w:val="000000"/>
        </w:rPr>
        <w:fldChar w:fldCharType="begin"/>
      </w:r>
      <w:r>
        <w:rPr>
          <w:color w:val="000000"/>
        </w:rPr>
        <w:instrText xml:space="preserve"> HYPERLINK \l "_Toc108031842" </w:instrText>
      </w:r>
      <w:r>
        <w:rPr>
          <w:color w:val="000000"/>
        </w:rPr>
        <w:fldChar w:fldCharType="separate"/>
      </w:r>
      <w:r>
        <w:rPr>
          <w:rFonts w:hint="eastAsia" w:ascii="方正仿宋_GBK" w:hAnsi="方正黑体_GBK" w:eastAsia="方正仿宋_GBK" w:cs="方正黑体_GBK"/>
          <w:color w:val="000000"/>
          <w:sz w:val="28"/>
          <w:szCs w:val="28"/>
        </w:rPr>
        <w:t>一、专业名称（专业代码）</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_Toc108031842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"_Toc108031843" </w:instrText>
      </w:r>
      <w:r>
        <w:rPr>
          <w:color w:val="000000"/>
        </w:rPr>
        <w:fldChar w:fldCharType="separate"/>
      </w:r>
      <w:r>
        <w:rPr>
          <w:rFonts w:hint="eastAsia" w:ascii="方正仿宋_GBK" w:hAnsi="方正黑体_GBK" w:eastAsia="方正仿宋_GBK" w:cs="方正黑体_GBK"/>
          <w:color w:val="000000"/>
          <w:sz w:val="28"/>
          <w:szCs w:val="28"/>
        </w:rPr>
        <w:t>二、入学要求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_Toc108031843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"_Toc108031844" </w:instrText>
      </w:r>
      <w:r>
        <w:rPr>
          <w:color w:val="000000"/>
        </w:rPr>
        <w:fldChar w:fldCharType="separate"/>
      </w:r>
      <w:r>
        <w:rPr>
          <w:rFonts w:hint="eastAsia" w:ascii="方正仿宋_GBK" w:hAnsi="方正黑体_GBK" w:eastAsia="方正仿宋_GBK" w:cs="方正黑体_GBK"/>
          <w:color w:val="000000"/>
          <w:sz w:val="28"/>
          <w:szCs w:val="28"/>
        </w:rPr>
        <w:t>三、修业年限</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_Toc108031844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"_Toc108031845" </w:instrText>
      </w:r>
      <w:r>
        <w:rPr>
          <w:color w:val="000000"/>
        </w:rPr>
        <w:fldChar w:fldCharType="separate"/>
      </w:r>
      <w:r>
        <w:rPr>
          <w:rFonts w:hint="eastAsia" w:ascii="方正仿宋_GBK" w:hAnsi="方正黑体_GBK" w:eastAsia="方正仿宋_GBK" w:cs="方正黑体_GBK"/>
          <w:color w:val="000000"/>
          <w:sz w:val="28"/>
          <w:szCs w:val="28"/>
        </w:rPr>
        <w:t>四、职业面向和接续专业</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_Toc108031845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"_Toc108031846" </w:instrText>
      </w:r>
      <w:r>
        <w:rPr>
          <w:color w:val="000000"/>
        </w:rPr>
        <w:fldChar w:fldCharType="separate"/>
      </w:r>
      <w:r>
        <w:rPr>
          <w:rFonts w:hint="eastAsia" w:ascii="方正仿宋_GBK" w:hAnsi="方正楷体_GBK" w:eastAsia="方正仿宋_GBK" w:cs="方正楷体_GBK"/>
          <w:color w:val="000000"/>
          <w:sz w:val="28"/>
          <w:szCs w:val="28"/>
        </w:rPr>
        <w:t>（一）职业面向</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_Toc108031846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"_Toc108031847" </w:instrText>
      </w:r>
      <w:r>
        <w:rPr>
          <w:color w:val="000000"/>
        </w:rPr>
        <w:fldChar w:fldCharType="separate"/>
      </w:r>
      <w:r>
        <w:rPr>
          <w:rFonts w:hint="eastAsia" w:ascii="方正仿宋_GBK" w:hAnsi="方正楷体_GBK" w:eastAsia="方正仿宋_GBK" w:cs="方正楷体_GBK"/>
          <w:color w:val="000000"/>
          <w:sz w:val="28"/>
          <w:szCs w:val="28"/>
        </w:rPr>
        <w:t>（二）接续专业</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_Toc108031847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"_Toc108031848" </w:instrText>
      </w:r>
      <w:r>
        <w:rPr>
          <w:color w:val="000000"/>
        </w:rPr>
        <w:fldChar w:fldCharType="separate"/>
      </w:r>
      <w:r>
        <w:rPr>
          <w:rFonts w:hint="eastAsia" w:ascii="方正仿宋_GBK" w:hAnsi="方正黑体_GBK" w:eastAsia="方正仿宋_GBK" w:cs="方正黑体_GBK"/>
          <w:color w:val="000000"/>
          <w:sz w:val="28"/>
          <w:szCs w:val="28"/>
        </w:rPr>
        <w:t>五、培养目标与培养规格</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_Toc108031848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4</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"_Toc108031849" </w:instrText>
      </w:r>
      <w:r>
        <w:rPr>
          <w:color w:val="000000"/>
        </w:rPr>
        <w:fldChar w:fldCharType="separate"/>
      </w:r>
      <w:r>
        <w:rPr>
          <w:rFonts w:hint="eastAsia" w:ascii="方正仿宋_GBK" w:hAnsi="方正楷体_GBK" w:eastAsia="方正仿宋_GBK" w:cs="方正楷体_GBK"/>
          <w:color w:val="000000"/>
          <w:sz w:val="28"/>
          <w:szCs w:val="28"/>
        </w:rPr>
        <w:t>（一）培养目标</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_Toc108031849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4</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"_Toc108031850" </w:instrText>
      </w:r>
      <w:r>
        <w:rPr>
          <w:color w:val="000000"/>
        </w:rPr>
        <w:fldChar w:fldCharType="separate"/>
      </w:r>
      <w:r>
        <w:rPr>
          <w:rFonts w:hint="eastAsia" w:ascii="方正仿宋_GBK" w:hAnsi="方正楷体_GBK" w:eastAsia="方正仿宋_GBK" w:cs="方正楷体_GBK"/>
          <w:color w:val="000000"/>
          <w:sz w:val="28"/>
          <w:szCs w:val="28"/>
        </w:rPr>
        <w:t>（二）培养规格</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_Toc108031850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4</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"_Toc108031851" </w:instrText>
      </w:r>
      <w:r>
        <w:rPr>
          <w:color w:val="000000"/>
        </w:rPr>
        <w:fldChar w:fldCharType="separate"/>
      </w:r>
      <w:r>
        <w:rPr>
          <w:rFonts w:hint="eastAsia" w:ascii="方正仿宋_GBK" w:hAnsi="方正黑体_GBK" w:eastAsia="方正仿宋_GBK" w:cs="方正黑体_GBK"/>
          <w:color w:val="000000"/>
          <w:sz w:val="28"/>
          <w:szCs w:val="28"/>
        </w:rPr>
        <w:t>六、课程设置及要求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_Toc108031851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7</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"_Toc108031852" </w:instrText>
      </w:r>
      <w:r>
        <w:rPr>
          <w:color w:val="000000"/>
        </w:rPr>
        <w:fldChar w:fldCharType="separate"/>
      </w:r>
      <w:r>
        <w:rPr>
          <w:rFonts w:hint="eastAsia" w:ascii="方正仿宋_GBK" w:hAnsi="方正楷体_GBK" w:eastAsia="方正仿宋_GBK" w:cs="方正楷体_GBK"/>
          <w:color w:val="000000"/>
          <w:sz w:val="28"/>
          <w:szCs w:val="28"/>
        </w:rPr>
        <w:t>（一）课程结构</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_Toc108031852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7</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"_Toc108031853" </w:instrText>
      </w:r>
      <w:r>
        <w:rPr>
          <w:color w:val="000000"/>
        </w:rPr>
        <w:fldChar w:fldCharType="separate"/>
      </w:r>
      <w:r>
        <w:rPr>
          <w:rFonts w:hint="eastAsia" w:ascii="方正仿宋_GBK" w:hAnsi="方正楷体_GBK" w:eastAsia="方正仿宋_GBK" w:cs="方正楷体_GBK"/>
          <w:color w:val="000000"/>
          <w:sz w:val="28"/>
          <w:szCs w:val="28"/>
        </w:rPr>
        <w:t>（二）课程设置及要求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_Toc108031853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8</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"_Toc108031854" </w:instrText>
      </w:r>
      <w:r>
        <w:rPr>
          <w:color w:val="000000"/>
        </w:rPr>
        <w:fldChar w:fldCharType="separate"/>
      </w:r>
      <w:r>
        <w:rPr>
          <w:rFonts w:hint="eastAsia" w:ascii="方正仿宋_GBK" w:hAnsi="方正黑体_GBK" w:eastAsia="方正仿宋_GBK" w:cs="方正黑体_GBK"/>
          <w:color w:val="000000"/>
          <w:sz w:val="28"/>
          <w:szCs w:val="28"/>
        </w:rPr>
        <w:t>七、教学进程总体安排</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_Toc108031854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15</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"_Toc108031855" </w:instrText>
      </w:r>
      <w:r>
        <w:rPr>
          <w:color w:val="000000"/>
        </w:rPr>
        <w:fldChar w:fldCharType="separate"/>
      </w:r>
      <w:r>
        <w:rPr>
          <w:rFonts w:hint="eastAsia" w:ascii="方正仿宋_GBK" w:hAnsi="方正楷体_GBK" w:eastAsia="方正仿宋_GBK" w:cs="方正楷体_GBK"/>
          <w:color w:val="000000"/>
          <w:sz w:val="28"/>
          <w:szCs w:val="28"/>
        </w:rPr>
        <w:t>（一）时间（周）分配表</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_Toc108031855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15</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"_Toc108031856" </w:instrText>
      </w:r>
      <w:r>
        <w:rPr>
          <w:color w:val="000000"/>
        </w:rPr>
        <w:fldChar w:fldCharType="separate"/>
      </w:r>
      <w:r>
        <w:rPr>
          <w:rFonts w:hint="eastAsia" w:ascii="方正仿宋_GBK" w:hAnsi="方正楷体_GBK" w:eastAsia="方正仿宋_GBK" w:cs="方正楷体_GBK"/>
          <w:color w:val="000000"/>
          <w:spacing w:val="-2"/>
          <w:kern w:val="0"/>
          <w:sz w:val="28"/>
          <w:szCs w:val="28"/>
        </w:rPr>
        <w:t>（二）护理专业教学进程表</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_Toc108031856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16</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"_Toc108031857" </w:instrText>
      </w:r>
      <w:r>
        <w:rPr>
          <w:color w:val="000000"/>
        </w:rPr>
        <w:fldChar w:fldCharType="separate"/>
      </w:r>
      <w:r>
        <w:rPr>
          <w:rFonts w:hint="eastAsia" w:ascii="方正仿宋_GBK" w:hAnsi="方正黑体_GBK" w:eastAsia="方正仿宋_GBK" w:cs="方正黑体_GBK"/>
          <w:color w:val="000000"/>
          <w:sz w:val="28"/>
          <w:szCs w:val="28"/>
        </w:rPr>
        <w:t>八、实施保障</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_Toc108031857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19</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"_Toc108031858" </w:instrText>
      </w:r>
      <w:r>
        <w:rPr>
          <w:color w:val="000000"/>
        </w:rPr>
        <w:fldChar w:fldCharType="separate"/>
      </w:r>
      <w:r>
        <w:rPr>
          <w:rFonts w:hint="eastAsia" w:ascii="方正仿宋_GBK" w:hAnsi="方正楷体_GBK" w:eastAsia="方正仿宋_GBK" w:cs="方正楷体_GBK"/>
          <w:color w:val="000000"/>
          <w:sz w:val="28"/>
          <w:szCs w:val="28"/>
        </w:rPr>
        <w:t>（一）师资队伍</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_Toc108031858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19</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"_Toc108031859" </w:instrText>
      </w:r>
      <w:r>
        <w:rPr>
          <w:color w:val="000000"/>
        </w:rPr>
        <w:fldChar w:fldCharType="separate"/>
      </w:r>
      <w:r>
        <w:rPr>
          <w:rFonts w:hint="eastAsia" w:ascii="方正仿宋_GBK" w:hAnsi="方正楷体_GBK" w:eastAsia="方正仿宋_GBK" w:cs="方正楷体_GBK"/>
          <w:bCs/>
          <w:color w:val="000000"/>
          <w:sz w:val="28"/>
          <w:szCs w:val="28"/>
        </w:rPr>
        <w:t>（二）教学设施</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_Toc108031859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19</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"_Toc108031860" </w:instrText>
      </w:r>
      <w:r>
        <w:rPr>
          <w:color w:val="000000"/>
        </w:rPr>
        <w:fldChar w:fldCharType="separate"/>
      </w:r>
      <w:r>
        <w:rPr>
          <w:rFonts w:hint="eastAsia" w:ascii="方正仿宋_GBK" w:hAnsi="方正楷体_GBK" w:eastAsia="方正仿宋_GBK" w:cs="方正楷体_GBK"/>
          <w:color w:val="000000"/>
          <w:sz w:val="28"/>
          <w:szCs w:val="28"/>
        </w:rPr>
        <w:t>（三）教学资源</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_Toc108031860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23</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"_Toc108031861" </w:instrText>
      </w:r>
      <w:r>
        <w:rPr>
          <w:color w:val="000000"/>
        </w:rPr>
        <w:fldChar w:fldCharType="separate"/>
      </w:r>
      <w:r>
        <w:rPr>
          <w:rFonts w:hint="eastAsia" w:ascii="方正仿宋_GBK" w:hAnsi="方正楷体_GBK" w:eastAsia="方正仿宋_GBK" w:cs="方正楷体_GBK"/>
          <w:color w:val="000000"/>
          <w:sz w:val="28"/>
          <w:szCs w:val="28"/>
        </w:rPr>
        <w:t>（四）教学方法</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_Toc108031861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24</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"_Toc108031862" </w:instrText>
      </w:r>
      <w:r>
        <w:rPr>
          <w:color w:val="000000"/>
        </w:rPr>
        <w:fldChar w:fldCharType="separate"/>
      </w:r>
      <w:r>
        <w:rPr>
          <w:rFonts w:hint="eastAsia" w:ascii="方正仿宋_GBK" w:hAnsi="方正楷体_GBK" w:eastAsia="方正仿宋_GBK" w:cs="方正楷体_GBK"/>
          <w:color w:val="000000"/>
          <w:sz w:val="28"/>
          <w:szCs w:val="28"/>
        </w:rPr>
        <w:t>（五）学习评价</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_Toc108031862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25</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"_Toc108031863" </w:instrText>
      </w:r>
      <w:r>
        <w:rPr>
          <w:color w:val="000000"/>
        </w:rPr>
        <w:fldChar w:fldCharType="separate"/>
      </w:r>
      <w:r>
        <w:rPr>
          <w:rFonts w:hint="eastAsia" w:ascii="方正仿宋_GBK" w:hAnsi="方正楷体_GBK" w:eastAsia="方正仿宋_GBK" w:cs="方正楷体_GBK"/>
          <w:color w:val="000000"/>
          <w:sz w:val="28"/>
          <w:szCs w:val="28"/>
        </w:rPr>
        <w:t>（六）质量管理</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_Toc108031863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26</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"_Toc108031864" </w:instrText>
      </w:r>
      <w:r>
        <w:rPr>
          <w:color w:val="000000"/>
        </w:rPr>
        <w:fldChar w:fldCharType="separate"/>
      </w:r>
      <w:r>
        <w:rPr>
          <w:rFonts w:hint="eastAsia" w:ascii="方正仿宋_GBK" w:hAnsi="方正黑体_GBK" w:eastAsia="方正仿宋_GBK" w:cs="方正黑体_GBK"/>
          <w:color w:val="000000"/>
          <w:sz w:val="28"/>
          <w:szCs w:val="28"/>
        </w:rPr>
        <w:t>九、毕业要求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_Toc108031864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27</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"_Toc108031865" </w:instrText>
      </w:r>
      <w:r>
        <w:rPr>
          <w:color w:val="000000"/>
        </w:rPr>
        <w:fldChar w:fldCharType="separate"/>
      </w:r>
      <w:r>
        <w:rPr>
          <w:rFonts w:hint="eastAsia" w:ascii="方正仿宋_GBK" w:hAnsi="方正楷体_GBK" w:eastAsia="方正仿宋_GBK" w:cs="方正楷体_GBK"/>
          <w:color w:val="000000"/>
          <w:sz w:val="28"/>
          <w:szCs w:val="28"/>
        </w:rPr>
        <w:t>（一）学业考核要求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_Toc108031865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27</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"_Toc108031866" </w:instrText>
      </w:r>
      <w:r>
        <w:rPr>
          <w:color w:val="000000"/>
        </w:rPr>
        <w:fldChar w:fldCharType="separate"/>
      </w:r>
      <w:r>
        <w:rPr>
          <w:rFonts w:hint="eastAsia" w:ascii="方正仿宋_GBK" w:hAnsi="方正楷体_GBK" w:eastAsia="方正仿宋_GBK" w:cs="方正楷体_GBK"/>
          <w:color w:val="000000"/>
          <w:sz w:val="28"/>
          <w:szCs w:val="28"/>
        </w:rPr>
        <w:t>（二）证书考取要求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_Toc108031866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27</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"_Toc108031867" </w:instrText>
      </w:r>
      <w:r>
        <w:rPr>
          <w:color w:val="000000"/>
        </w:rPr>
        <w:fldChar w:fldCharType="separate"/>
      </w:r>
      <w:r>
        <w:rPr>
          <w:rFonts w:hint="eastAsia" w:ascii="方正仿宋_GBK" w:hAnsi="方正楷体_GBK" w:eastAsia="方正仿宋_GBK" w:cs="方正楷体_GBK"/>
          <w:color w:val="000000"/>
          <w:sz w:val="28"/>
          <w:szCs w:val="28"/>
        </w:rPr>
        <w:t>（三）毕业要求</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_Toc108031867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28</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rPr>
          <w:rFonts w:ascii="方正仿宋_GBK" w:eastAsia="方正仿宋_GBK"/>
          <w:color w:val="000000"/>
          <w:sz w:val="28"/>
          <w:szCs w:val="28"/>
        </w:rPr>
      </w:pPr>
      <w:r>
        <w:rPr>
          <w:color w:val="000000"/>
        </w:rPr>
        <w:fldChar w:fldCharType="begin"/>
      </w:r>
      <w:r>
        <w:rPr>
          <w:color w:val="000000"/>
        </w:rPr>
        <w:instrText xml:space="preserve"> HYPERLINK \l "_Toc108031868" </w:instrText>
      </w:r>
      <w:r>
        <w:rPr>
          <w:color w:val="000000"/>
        </w:rPr>
        <w:fldChar w:fldCharType="separate"/>
      </w:r>
      <w:r>
        <w:rPr>
          <w:rFonts w:hint="eastAsia" w:ascii="方正仿宋_GBK" w:hAnsi="方正黑体_GBK" w:eastAsia="方正仿宋_GBK" w:cs="方正黑体_GBK"/>
          <w:color w:val="000000"/>
          <w:sz w:val="28"/>
          <w:szCs w:val="28"/>
        </w:rPr>
        <w:t>十、其他</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_Toc108031868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28</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"_Toc108031869" </w:instrText>
      </w:r>
      <w:r>
        <w:rPr>
          <w:color w:val="000000"/>
        </w:rPr>
        <w:fldChar w:fldCharType="separate"/>
      </w:r>
      <w:r>
        <w:rPr>
          <w:rFonts w:hint="eastAsia" w:ascii="方正仿宋_GBK" w:hAnsi="方正楷体_GBK" w:eastAsia="方正仿宋_GBK" w:cs="方正楷体_GBK"/>
          <w:bCs/>
          <w:color w:val="000000"/>
          <w:sz w:val="28"/>
          <w:szCs w:val="28"/>
        </w:rPr>
        <w:t>（一）编写依据</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_Toc108031869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28</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tabs>
          <w:tab w:val="right" w:leader="dot" w:pos="9062"/>
        </w:tabs>
        <w:spacing w:line="400" w:lineRule="exact"/>
        <w:ind w:left="422" w:leftChars="200"/>
        <w:rPr>
          <w:rFonts w:ascii="方正仿宋_GBK" w:eastAsia="方正仿宋_GBK"/>
          <w:color w:val="000000"/>
          <w:sz w:val="28"/>
          <w:szCs w:val="28"/>
        </w:rPr>
      </w:pPr>
      <w:r>
        <w:rPr>
          <w:color w:val="000000"/>
        </w:rPr>
        <w:fldChar w:fldCharType="begin"/>
      </w:r>
      <w:r>
        <w:rPr>
          <w:color w:val="000000"/>
        </w:rPr>
        <w:instrText xml:space="preserve"> HYPERLINK \l "_Toc108031870" </w:instrText>
      </w:r>
      <w:r>
        <w:rPr>
          <w:color w:val="000000"/>
        </w:rPr>
        <w:fldChar w:fldCharType="separate"/>
      </w:r>
      <w:r>
        <w:rPr>
          <w:rFonts w:hint="eastAsia" w:ascii="方正仿宋_GBK" w:hAnsi="方正楷体_GBK" w:eastAsia="方正仿宋_GBK" w:cs="方正楷体_GBK"/>
          <w:bCs/>
          <w:color w:val="000000"/>
          <w:sz w:val="28"/>
          <w:szCs w:val="28"/>
        </w:rPr>
        <w:t>（二）运用范围</w:t>
      </w:r>
      <w:r>
        <w:rPr>
          <w:rFonts w:hint="eastAsia" w:ascii="方正仿宋_GBK" w:eastAsia="方正仿宋_GBK"/>
          <w:color w:val="000000"/>
          <w:sz w:val="28"/>
          <w:szCs w:val="28"/>
        </w:rPr>
        <w:tab/>
      </w:r>
      <w:r>
        <w:rPr>
          <w:rFonts w:hint="eastAsia" w:ascii="方正仿宋_GBK" w:eastAsia="方正仿宋_GBK"/>
          <w:color w:val="000000"/>
          <w:sz w:val="28"/>
          <w:szCs w:val="28"/>
        </w:rPr>
        <w:fldChar w:fldCharType="begin"/>
      </w:r>
      <w:r>
        <w:rPr>
          <w:rFonts w:hint="eastAsia" w:ascii="方正仿宋_GBK" w:eastAsia="方正仿宋_GBK"/>
          <w:color w:val="000000"/>
          <w:sz w:val="28"/>
          <w:szCs w:val="28"/>
        </w:rPr>
        <w:instrText xml:space="preserve"> PAGEREF _Toc108031870 \h </w:instrText>
      </w:r>
      <w:r>
        <w:rPr>
          <w:rFonts w:hint="eastAsia" w:ascii="方正仿宋_GBK" w:eastAsia="方正仿宋_GBK"/>
          <w:color w:val="000000"/>
          <w:sz w:val="28"/>
          <w:szCs w:val="28"/>
        </w:rPr>
        <w:fldChar w:fldCharType="separate"/>
      </w:r>
      <w:r>
        <w:rPr>
          <w:rFonts w:hint="eastAsia" w:ascii="方正仿宋_GBK" w:eastAsia="方正仿宋_GBK"/>
          <w:color w:val="000000"/>
          <w:sz w:val="28"/>
          <w:szCs w:val="28"/>
        </w:rPr>
        <w:t>28</w:t>
      </w:r>
      <w:r>
        <w:rPr>
          <w:rFonts w:hint="eastAsia" w:ascii="方正仿宋_GBK" w:eastAsia="方正仿宋_GBK"/>
          <w:color w:val="000000"/>
          <w:sz w:val="28"/>
          <w:szCs w:val="28"/>
        </w:rPr>
        <w:fldChar w:fldCharType="end"/>
      </w:r>
      <w:r>
        <w:rPr>
          <w:rFonts w:hint="eastAsia" w:ascii="方正仿宋_GBK" w:eastAsia="方正仿宋_GBK"/>
          <w:color w:val="000000"/>
          <w:sz w:val="28"/>
          <w:szCs w:val="28"/>
        </w:rPr>
        <w:fldChar w:fldCharType="end"/>
      </w:r>
    </w:p>
    <w:p>
      <w:pPr>
        <w:spacing w:line="440" w:lineRule="exact"/>
        <w:rPr>
          <w:rFonts w:ascii="方正仿宋_GBK" w:hAnsi="仿宋" w:eastAsia="方正仿宋_GBK"/>
          <w:color w:val="000000"/>
          <w:sz w:val="28"/>
          <w:szCs w:val="28"/>
        </w:rPr>
      </w:pPr>
      <w:r>
        <w:rPr>
          <w:rFonts w:hint="eastAsia" w:ascii="方正仿宋_GBK" w:hAnsi="仿宋" w:eastAsia="方正仿宋_GBK"/>
          <w:bCs/>
          <w:color w:val="000000"/>
          <w:sz w:val="28"/>
          <w:szCs w:val="28"/>
          <w:lang w:val="zh-CN"/>
        </w:rPr>
        <w:fldChar w:fldCharType="end"/>
      </w:r>
    </w:p>
    <w:p>
      <w:pPr>
        <w:jc w:val="center"/>
        <w:rPr>
          <w:rFonts w:ascii="方正小标宋_GBK" w:hAnsi="方正小标宋_GBK" w:eastAsia="方正小标宋_GBK" w:cs="方正小标宋_GBK"/>
          <w:b/>
          <w:bCs/>
          <w:color w:val="000000"/>
          <w:sz w:val="44"/>
          <w:szCs w:val="44"/>
        </w:rPr>
      </w:pPr>
    </w:p>
    <w:p>
      <w:pPr>
        <w:jc w:val="center"/>
        <w:rPr>
          <w:rFonts w:ascii="方正小标宋_GBK" w:hAnsi="方正小标宋_GBK" w:eastAsia="方正小标宋_GBK" w:cs="方正小标宋_GBK"/>
          <w:b/>
          <w:bCs/>
          <w:color w:val="000000"/>
          <w:sz w:val="44"/>
          <w:szCs w:val="44"/>
        </w:rPr>
      </w:pPr>
      <w:r>
        <w:rPr>
          <w:rFonts w:hint="eastAsia" w:ascii="方正小标宋_GBK" w:hAnsi="方正小标宋_GBK" w:eastAsia="方正小标宋_GBK" w:cs="方正小标宋_GBK"/>
          <w:b/>
          <w:bCs/>
          <w:color w:val="000000"/>
          <w:sz w:val="44"/>
          <w:szCs w:val="44"/>
        </w:rPr>
        <w:t>护理专业人才培养方案</w:t>
      </w:r>
    </w:p>
    <w:p>
      <w:pPr>
        <w:jc w:val="center"/>
        <w:rPr>
          <w:rFonts w:ascii="方正小标宋_GBK" w:hAnsi="方正小标宋_GBK" w:eastAsia="方正小标宋_GBK" w:cs="方正小标宋_GBK"/>
          <w:b/>
          <w:bCs/>
          <w:color w:val="000000"/>
          <w:sz w:val="32"/>
          <w:szCs w:val="32"/>
        </w:rPr>
      </w:pPr>
    </w:p>
    <w:p>
      <w:pPr>
        <w:keepNext/>
        <w:keepLines/>
        <w:spacing w:line="560" w:lineRule="exact"/>
        <w:ind w:firstLine="642" w:firstLineChars="200"/>
        <w:rPr>
          <w:rFonts w:ascii="方正黑体_GBK" w:hAnsi="方正黑体_GBK" w:eastAsia="方正黑体_GBK" w:cs="方正黑体_GBK"/>
          <w:color w:val="000000"/>
          <w:sz w:val="32"/>
          <w:szCs w:val="32"/>
        </w:rPr>
      </w:pPr>
      <w:bookmarkStart w:id="18" w:name="_Toc124436004"/>
      <w:bookmarkStart w:id="19" w:name="_Toc124436447"/>
      <w:bookmarkStart w:id="20" w:name="_Toc124405375"/>
      <w:bookmarkStart w:id="21" w:name="_Toc108031842"/>
      <w:bookmarkStart w:id="22" w:name="_Toc121436589"/>
      <w:bookmarkStart w:id="23" w:name="_Toc124370490"/>
      <w:bookmarkStart w:id="24" w:name="_Toc124436772"/>
      <w:bookmarkStart w:id="25" w:name="_Toc124436591"/>
      <w:r>
        <w:rPr>
          <w:rFonts w:hint="eastAsia" w:ascii="方正黑体_GBK" w:hAnsi="方正黑体_GBK" w:eastAsia="方正黑体_GBK" w:cs="方正黑体_GBK"/>
          <w:color w:val="000000"/>
          <w:sz w:val="32"/>
          <w:szCs w:val="32"/>
        </w:rPr>
        <w:t>一、专业名称（专业代码）</w:t>
      </w:r>
      <w:bookmarkEnd w:id="18"/>
      <w:bookmarkEnd w:id="19"/>
      <w:bookmarkEnd w:id="20"/>
      <w:bookmarkEnd w:id="21"/>
      <w:bookmarkEnd w:id="22"/>
      <w:bookmarkEnd w:id="23"/>
      <w:bookmarkEnd w:id="24"/>
      <w:bookmarkEnd w:id="25"/>
    </w:p>
    <w:p>
      <w:pPr>
        <w:spacing w:line="560" w:lineRule="exact"/>
        <w:ind w:firstLine="642" w:firstLineChars="200"/>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护理(专业代码720201)</w:t>
      </w:r>
    </w:p>
    <w:p>
      <w:pPr>
        <w:keepNext/>
        <w:keepLines/>
        <w:spacing w:line="560" w:lineRule="exact"/>
        <w:ind w:firstLine="642" w:firstLineChars="200"/>
        <w:rPr>
          <w:rFonts w:ascii="方正仿宋_GBK" w:hAnsi="方正仿宋_GBK" w:eastAsia="方正仿宋_GBK" w:cs="方正仿宋_GBK"/>
          <w:b/>
          <w:bCs/>
          <w:color w:val="000000"/>
          <w:sz w:val="32"/>
          <w:szCs w:val="32"/>
        </w:rPr>
      </w:pPr>
      <w:bookmarkStart w:id="26" w:name="_Toc124436005"/>
      <w:bookmarkStart w:id="27" w:name="_Toc124436448"/>
      <w:bookmarkStart w:id="28" w:name="_Toc124436592"/>
      <w:bookmarkStart w:id="29" w:name="_Toc121436590"/>
      <w:bookmarkStart w:id="30" w:name="_Toc124370491"/>
      <w:bookmarkStart w:id="31" w:name="_Toc108031843"/>
      <w:bookmarkStart w:id="32" w:name="_Toc124436773"/>
      <w:bookmarkStart w:id="33" w:name="_Toc124405376"/>
      <w:r>
        <w:rPr>
          <w:rFonts w:hint="eastAsia" w:ascii="方正黑体_GBK" w:hAnsi="方正黑体_GBK" w:eastAsia="方正黑体_GBK" w:cs="方正黑体_GBK"/>
          <w:color w:val="000000"/>
          <w:sz w:val="32"/>
          <w:szCs w:val="32"/>
        </w:rPr>
        <w:t>二、入学要求</w:t>
      </w:r>
      <w:bookmarkEnd w:id="26"/>
      <w:bookmarkEnd w:id="27"/>
      <w:bookmarkEnd w:id="28"/>
      <w:bookmarkEnd w:id="29"/>
      <w:bookmarkEnd w:id="30"/>
      <w:bookmarkEnd w:id="31"/>
      <w:bookmarkEnd w:id="32"/>
      <w:bookmarkEnd w:id="33"/>
    </w:p>
    <w:p>
      <w:pPr>
        <w:tabs>
          <w:tab w:val="center" w:pos="4153"/>
        </w:tabs>
        <w:spacing w:line="560" w:lineRule="exact"/>
        <w:ind w:firstLine="642" w:firstLineChars="200"/>
        <w:jc w:val="left"/>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初中毕业或具有同等及以上学力者</w:t>
      </w:r>
    </w:p>
    <w:p>
      <w:pPr>
        <w:keepNext/>
        <w:keepLines/>
        <w:spacing w:line="560" w:lineRule="exact"/>
        <w:ind w:firstLine="642" w:firstLineChars="200"/>
        <w:rPr>
          <w:rFonts w:ascii="方正黑体_GBK" w:hAnsi="方正黑体_GBK" w:eastAsia="方正黑体_GBK" w:cs="方正黑体_GBK"/>
          <w:color w:val="000000"/>
          <w:sz w:val="32"/>
          <w:szCs w:val="32"/>
        </w:rPr>
      </w:pPr>
      <w:bookmarkStart w:id="34" w:name="_Toc121436591"/>
      <w:bookmarkStart w:id="35" w:name="_Toc124436774"/>
      <w:bookmarkStart w:id="36" w:name="_Toc124436006"/>
      <w:bookmarkStart w:id="37" w:name="_Toc108031844"/>
      <w:bookmarkStart w:id="38" w:name="_Toc124436593"/>
      <w:bookmarkStart w:id="39" w:name="_Toc124370492"/>
      <w:bookmarkStart w:id="40" w:name="_Toc124436449"/>
      <w:bookmarkStart w:id="41" w:name="_Toc124405377"/>
      <w:r>
        <w:rPr>
          <w:rFonts w:hint="eastAsia" w:ascii="方正黑体_GBK" w:hAnsi="方正黑体_GBK" w:eastAsia="方正黑体_GBK" w:cs="方正黑体_GBK"/>
          <w:color w:val="000000"/>
          <w:sz w:val="32"/>
          <w:szCs w:val="32"/>
        </w:rPr>
        <w:t>三、修业年限</w:t>
      </w:r>
      <w:bookmarkEnd w:id="34"/>
      <w:bookmarkEnd w:id="35"/>
      <w:bookmarkEnd w:id="36"/>
      <w:bookmarkEnd w:id="37"/>
      <w:bookmarkEnd w:id="38"/>
      <w:bookmarkEnd w:id="39"/>
      <w:bookmarkEnd w:id="40"/>
      <w:bookmarkEnd w:id="41"/>
    </w:p>
    <w:p>
      <w:pPr>
        <w:spacing w:line="560" w:lineRule="exact"/>
        <w:ind w:firstLine="642" w:firstLineChars="200"/>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三年</w:t>
      </w:r>
    </w:p>
    <w:p>
      <w:pPr>
        <w:keepNext/>
        <w:keepLines/>
        <w:spacing w:line="560" w:lineRule="exact"/>
        <w:ind w:firstLine="642" w:firstLineChars="200"/>
        <w:rPr>
          <w:rFonts w:ascii="方正黑体_GBK" w:hAnsi="方正黑体_GBK" w:eastAsia="方正黑体_GBK" w:cs="方正黑体_GBK"/>
          <w:color w:val="000000"/>
          <w:sz w:val="32"/>
          <w:szCs w:val="32"/>
        </w:rPr>
      </w:pPr>
      <w:bookmarkStart w:id="42" w:name="_Toc108031845"/>
      <w:bookmarkStart w:id="43" w:name="_Toc121436592"/>
      <w:bookmarkStart w:id="44" w:name="_Toc124405378"/>
      <w:bookmarkStart w:id="45" w:name="_Toc124370493"/>
      <w:bookmarkStart w:id="46" w:name="_Toc124436594"/>
      <w:bookmarkStart w:id="47" w:name="_Toc124436450"/>
      <w:bookmarkStart w:id="48" w:name="_Toc124436775"/>
      <w:bookmarkStart w:id="49" w:name="_Toc124436007"/>
      <w:r>
        <w:rPr>
          <w:rFonts w:hint="eastAsia" w:ascii="方正黑体_GBK" w:hAnsi="方正黑体_GBK" w:eastAsia="方正黑体_GBK" w:cs="方正黑体_GBK"/>
          <w:color w:val="000000"/>
          <w:sz w:val="32"/>
          <w:szCs w:val="32"/>
        </w:rPr>
        <w:t>四、职业面向和接续专业</w:t>
      </w:r>
      <w:bookmarkEnd w:id="42"/>
      <w:bookmarkEnd w:id="43"/>
      <w:bookmarkEnd w:id="44"/>
      <w:bookmarkEnd w:id="45"/>
      <w:bookmarkEnd w:id="46"/>
      <w:bookmarkEnd w:id="47"/>
      <w:bookmarkEnd w:id="48"/>
      <w:bookmarkEnd w:id="49"/>
    </w:p>
    <w:p>
      <w:pPr>
        <w:keepNext/>
        <w:keepLines/>
        <w:spacing w:line="560" w:lineRule="exact"/>
        <w:ind w:firstLine="642" w:firstLineChars="200"/>
        <w:rPr>
          <w:rFonts w:ascii="方正楷体_GBK" w:hAnsi="方正楷体_GBK" w:eastAsia="方正楷体_GBK" w:cs="方正楷体_GBK"/>
          <w:color w:val="000000"/>
          <w:sz w:val="32"/>
          <w:szCs w:val="32"/>
        </w:rPr>
      </w:pPr>
      <w:bookmarkStart w:id="50" w:name="_Toc124436451"/>
      <w:bookmarkStart w:id="51" w:name="_Toc124405379"/>
      <w:bookmarkStart w:id="52" w:name="_Toc124436595"/>
      <w:bookmarkStart w:id="53" w:name="_Toc124370494"/>
      <w:bookmarkStart w:id="54" w:name="_Toc108031846"/>
      <w:bookmarkStart w:id="55" w:name="_Toc124436776"/>
      <w:r>
        <w:rPr>
          <w:rFonts w:hint="eastAsia" w:ascii="方正楷体_GBK" w:hAnsi="方正楷体_GBK" w:eastAsia="方正楷体_GBK" w:cs="方正楷体_GBK"/>
          <w:b/>
          <w:bCs/>
          <w:color w:val="000000"/>
          <w:sz w:val="32"/>
          <w:szCs w:val="32"/>
        </w:rPr>
        <w:t>（一）职业面向</w:t>
      </w:r>
      <w:bookmarkEnd w:id="50"/>
      <w:bookmarkEnd w:id="51"/>
      <w:bookmarkEnd w:id="52"/>
      <w:bookmarkEnd w:id="53"/>
      <w:bookmarkEnd w:id="54"/>
      <w:bookmarkEnd w:id="55"/>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134"/>
        <w:gridCol w:w="2693"/>
        <w:gridCol w:w="1560"/>
        <w:gridCol w:w="1417"/>
        <w:gridCol w:w="1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7" w:type="dxa"/>
            <w:noWrap w:val="0"/>
            <w:vAlign w:val="center"/>
          </w:tcPr>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所属专</w:t>
            </w:r>
          </w:p>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业大类</w:t>
            </w:r>
          </w:p>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及代码</w:t>
            </w:r>
          </w:p>
        </w:tc>
        <w:tc>
          <w:tcPr>
            <w:tcW w:w="1134" w:type="dxa"/>
            <w:noWrap w:val="0"/>
            <w:vAlign w:val="center"/>
          </w:tcPr>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所属专业</w:t>
            </w:r>
          </w:p>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类及代码</w:t>
            </w:r>
          </w:p>
        </w:tc>
        <w:tc>
          <w:tcPr>
            <w:tcW w:w="2693" w:type="dxa"/>
            <w:noWrap w:val="0"/>
            <w:vAlign w:val="center"/>
          </w:tcPr>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对应行业及代码</w:t>
            </w:r>
          </w:p>
        </w:tc>
        <w:tc>
          <w:tcPr>
            <w:tcW w:w="1560" w:type="dxa"/>
            <w:noWrap w:val="0"/>
            <w:vAlign w:val="center"/>
          </w:tcPr>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主要职业类别</w:t>
            </w:r>
          </w:p>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及代码</w:t>
            </w:r>
          </w:p>
        </w:tc>
        <w:tc>
          <w:tcPr>
            <w:tcW w:w="1417" w:type="dxa"/>
            <w:noWrap w:val="0"/>
            <w:vAlign w:val="center"/>
          </w:tcPr>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主要岗位类别（或技术领域）</w:t>
            </w:r>
          </w:p>
        </w:tc>
        <w:tc>
          <w:tcPr>
            <w:tcW w:w="1667" w:type="dxa"/>
            <w:noWrap w:val="0"/>
            <w:vAlign w:val="center"/>
          </w:tcPr>
          <w:p>
            <w:pPr>
              <w:rPr>
                <w:rFonts w:ascii="方正仿宋_GBK" w:hAnsi="方正仿宋_GBK" w:eastAsia="方正仿宋_GBK" w:cs="方正仿宋_GBK"/>
                <w:b/>
                <w:color w:val="000000"/>
                <w:sz w:val="18"/>
                <w:szCs w:val="18"/>
              </w:rPr>
            </w:pPr>
            <w:r>
              <w:rPr>
                <w:rFonts w:hint="eastAsia" w:ascii="方正仿宋_GBK" w:hAnsi="方正仿宋_GBK" w:eastAsia="方正仿宋_GBK" w:cs="方正仿宋_GBK"/>
                <w:b/>
                <w:color w:val="000000"/>
                <w:sz w:val="18"/>
                <w:szCs w:val="18"/>
              </w:rPr>
              <w:t>职业技能等级证书、行业企业标准和证书举例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noWrap w:val="0"/>
            <w:vAlign w:val="top"/>
          </w:tcPr>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卫生84</w:t>
            </w:r>
          </w:p>
        </w:tc>
        <w:tc>
          <w:tcPr>
            <w:tcW w:w="1134" w:type="dxa"/>
            <w:noWrap w:val="0"/>
            <w:vAlign w:val="top"/>
          </w:tcPr>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1.医院841</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2.基层医疗卫生服务842</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3.专业公共服务843</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4.其他卫生活动849</w:t>
            </w:r>
          </w:p>
        </w:tc>
        <w:tc>
          <w:tcPr>
            <w:tcW w:w="2693" w:type="dxa"/>
            <w:noWrap w:val="0"/>
            <w:vAlign w:val="top"/>
          </w:tcPr>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1.综合医院8411</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2.中医医院8412</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3.中西医结合医院8413</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4.专科医院8415</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5.社区卫生服务中心（站）8421</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6.街道卫生院8422</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7.乡镇卫生院8423</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8.专科疾病防治院（所、站）8432</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9.妇幼保健院（所、站）8433</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10.健康体检服务8491</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11.其他未列明卫生服务8499</w:t>
            </w:r>
          </w:p>
        </w:tc>
        <w:tc>
          <w:tcPr>
            <w:tcW w:w="1560" w:type="dxa"/>
            <w:noWrap w:val="0"/>
            <w:vAlign w:val="top"/>
          </w:tcPr>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1.病房护士2-05-08-01</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2.门诊护士2-05-08-02</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3.急诊护士2-05-08-03</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4.手术室护士2-05-08-04</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5.供应室护士2-05-08-05</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6.社区护士2-05-08-06</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7.其他护理人员2-05-08-99</w:t>
            </w:r>
          </w:p>
        </w:tc>
        <w:tc>
          <w:tcPr>
            <w:tcW w:w="1417" w:type="dxa"/>
            <w:noWrap w:val="0"/>
            <w:vAlign w:val="top"/>
          </w:tcPr>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1.病区护理</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2.门诊护理</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3.急诊护理</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4.社区护理</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5.老年照护</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6.其他护理人员</w:t>
            </w:r>
          </w:p>
        </w:tc>
        <w:tc>
          <w:tcPr>
            <w:tcW w:w="1667" w:type="dxa"/>
            <w:noWrap w:val="0"/>
            <w:vAlign w:val="top"/>
          </w:tcPr>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1.护士执业资格证</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2. 1+X老年照护技能等级证书</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3. 1+X母婴护理技能等级证书</w:t>
            </w:r>
          </w:p>
          <w:p>
            <w:pPr>
              <w:rPr>
                <w:rFonts w:ascii="方正仿宋_GBK" w:hAnsi="方正仿宋_GBK" w:eastAsia="方正仿宋_GBK" w:cs="方正仿宋_GBK"/>
                <w:color w:val="000000"/>
                <w:sz w:val="18"/>
                <w:szCs w:val="18"/>
              </w:rPr>
            </w:pPr>
            <w:r>
              <w:rPr>
                <w:rFonts w:hint="eastAsia" w:ascii="方正仿宋_GBK" w:hAnsi="方正仿宋_GBK" w:eastAsia="方正仿宋_GBK" w:cs="方正仿宋_GBK"/>
                <w:color w:val="000000"/>
                <w:sz w:val="18"/>
                <w:szCs w:val="18"/>
              </w:rPr>
              <w:t>4. 1+X幼儿照护技能等级证书</w:t>
            </w:r>
          </w:p>
          <w:p>
            <w:pPr>
              <w:rPr>
                <w:rFonts w:ascii="方正仿宋_GBK" w:hAnsi="方正仿宋_GBK" w:eastAsia="方正仿宋_GBK" w:cs="方正仿宋_GBK"/>
                <w:color w:val="000000"/>
                <w:sz w:val="18"/>
                <w:szCs w:val="18"/>
              </w:rPr>
            </w:pPr>
          </w:p>
          <w:p>
            <w:pPr>
              <w:rPr>
                <w:rFonts w:ascii="方正仿宋_GBK" w:hAnsi="方正仿宋_GBK" w:eastAsia="方正仿宋_GBK" w:cs="方正仿宋_GBK"/>
                <w:color w:val="000000"/>
                <w:sz w:val="18"/>
                <w:szCs w:val="18"/>
              </w:rPr>
            </w:pPr>
          </w:p>
        </w:tc>
      </w:tr>
    </w:tbl>
    <w:p>
      <w:pPr>
        <w:rPr>
          <w:rFonts w:ascii="宋体" w:hAnsi="宋体"/>
          <w:color w:val="000000"/>
          <w:szCs w:val="24"/>
        </w:rPr>
      </w:pPr>
      <w:r>
        <w:rPr>
          <w:rFonts w:hint="eastAsia" w:ascii="方正仿宋_GBK" w:hAnsi="方正仿宋_GBK" w:eastAsia="方正仿宋_GBK" w:cs="方正仿宋_GBK"/>
          <w:color w:val="000000"/>
          <w:szCs w:val="24"/>
        </w:rPr>
        <w:t>说明：对应行业参照现行的《国民经济行业分类》（GB/T4754-2017）；主要职业类别参照现行的《中华人民共和国职业分类大典》。</w:t>
      </w:r>
    </w:p>
    <w:p>
      <w:pPr>
        <w:keepNext/>
        <w:keepLines/>
        <w:spacing w:line="560" w:lineRule="exact"/>
        <w:ind w:firstLine="642" w:firstLineChars="200"/>
        <w:rPr>
          <w:rFonts w:ascii="方正楷体_GBK" w:hAnsi="方正楷体_GBK" w:eastAsia="方正楷体_GBK" w:cs="方正楷体_GBK"/>
          <w:color w:val="000000"/>
          <w:sz w:val="32"/>
          <w:szCs w:val="32"/>
        </w:rPr>
      </w:pPr>
      <w:bookmarkStart w:id="56" w:name="_Toc124405380"/>
      <w:bookmarkStart w:id="57" w:name="_Toc124436777"/>
      <w:bookmarkStart w:id="58" w:name="_Toc124436452"/>
      <w:bookmarkStart w:id="59" w:name="_Toc124370495"/>
      <w:bookmarkStart w:id="60" w:name="_Toc124436596"/>
      <w:bookmarkStart w:id="61" w:name="_Toc108031847"/>
      <w:r>
        <w:rPr>
          <w:rFonts w:hint="eastAsia" w:ascii="方正楷体_GBK" w:hAnsi="方正楷体_GBK" w:eastAsia="方正楷体_GBK" w:cs="方正楷体_GBK"/>
          <w:b/>
          <w:bCs/>
          <w:color w:val="000000"/>
          <w:sz w:val="32"/>
          <w:szCs w:val="32"/>
        </w:rPr>
        <w:t>（二）接续专业</w:t>
      </w:r>
      <w:bookmarkEnd w:id="56"/>
      <w:bookmarkEnd w:id="57"/>
      <w:bookmarkEnd w:id="58"/>
      <w:bookmarkEnd w:id="59"/>
      <w:bookmarkEnd w:id="60"/>
      <w:bookmarkEnd w:id="61"/>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高职：护理、助产、老年服务与管理</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本科：护理学</w:t>
      </w:r>
    </w:p>
    <w:p>
      <w:pPr>
        <w:keepNext/>
        <w:keepLines/>
        <w:spacing w:line="560" w:lineRule="exact"/>
        <w:ind w:firstLine="642" w:firstLineChars="200"/>
        <w:rPr>
          <w:rFonts w:ascii="方正黑体_GBK" w:hAnsi="方正黑体_GBK" w:eastAsia="方正黑体_GBK" w:cs="方正黑体_GBK"/>
          <w:color w:val="000000"/>
          <w:kern w:val="44"/>
          <w:sz w:val="32"/>
          <w:szCs w:val="32"/>
        </w:rPr>
      </w:pPr>
      <w:bookmarkStart w:id="62" w:name="_Toc108031848"/>
      <w:bookmarkStart w:id="63" w:name="_Toc124436778"/>
      <w:bookmarkStart w:id="64" w:name="_Toc121436593"/>
      <w:bookmarkStart w:id="65" w:name="_Toc124436008"/>
      <w:bookmarkStart w:id="66" w:name="_Toc124436453"/>
      <w:bookmarkStart w:id="67" w:name="_Toc124370496"/>
      <w:bookmarkStart w:id="68" w:name="_Toc124405381"/>
      <w:bookmarkStart w:id="69" w:name="_Toc124436597"/>
      <w:r>
        <w:rPr>
          <w:rFonts w:hint="eastAsia" w:ascii="方正黑体_GBK" w:hAnsi="方正黑体_GBK" w:eastAsia="方正黑体_GBK" w:cs="方正黑体_GBK"/>
          <w:color w:val="000000"/>
          <w:kern w:val="44"/>
          <w:sz w:val="32"/>
          <w:szCs w:val="32"/>
        </w:rPr>
        <w:t>五、培养目标与培养规格</w:t>
      </w:r>
      <w:bookmarkEnd w:id="62"/>
      <w:bookmarkEnd w:id="63"/>
      <w:bookmarkEnd w:id="64"/>
      <w:bookmarkEnd w:id="65"/>
      <w:bookmarkEnd w:id="66"/>
      <w:bookmarkEnd w:id="67"/>
      <w:bookmarkEnd w:id="68"/>
      <w:bookmarkEnd w:id="69"/>
    </w:p>
    <w:p>
      <w:pPr>
        <w:adjustRightInd w:val="0"/>
        <w:snapToGrid w:val="0"/>
        <w:spacing w:line="560" w:lineRule="exact"/>
        <w:ind w:firstLine="642" w:firstLineChars="200"/>
        <w:jc w:val="left"/>
        <w:rPr>
          <w:rFonts w:ascii="方正楷体_GBK" w:hAnsi="方正楷体_GBK" w:eastAsia="方正楷体_GBK" w:cs="方正楷体_GBK"/>
          <w:b/>
          <w:color w:val="000000"/>
          <w:sz w:val="32"/>
          <w:szCs w:val="32"/>
        </w:rPr>
      </w:pPr>
      <w:bookmarkStart w:id="70" w:name="_Toc124436598"/>
      <w:bookmarkStart w:id="71" w:name="_Toc124436779"/>
      <w:bookmarkStart w:id="72" w:name="_Toc124436454"/>
      <w:bookmarkStart w:id="73" w:name="_Toc108031849"/>
      <w:bookmarkStart w:id="74" w:name="_Toc124405382"/>
      <w:bookmarkStart w:id="75" w:name="_Toc124370497"/>
      <w:r>
        <w:rPr>
          <w:rFonts w:hint="eastAsia" w:ascii="方正楷体_GBK" w:hAnsi="方正楷体_GBK" w:eastAsia="方正楷体_GBK" w:cs="方正楷体_GBK"/>
          <w:b/>
          <w:color w:val="000000"/>
          <w:sz w:val="32"/>
          <w:szCs w:val="32"/>
        </w:rPr>
        <w:t>（一）培养目标</w:t>
      </w:r>
      <w:bookmarkEnd w:id="70"/>
      <w:bookmarkEnd w:id="71"/>
      <w:bookmarkEnd w:id="72"/>
      <w:bookmarkEnd w:id="73"/>
      <w:bookmarkEnd w:id="74"/>
      <w:bookmarkEnd w:id="75"/>
    </w:p>
    <w:p>
      <w:pPr>
        <w:spacing w:line="560" w:lineRule="exact"/>
        <w:ind w:firstLine="642" w:firstLineChars="200"/>
        <w:rPr>
          <w:rFonts w:ascii="方正仿宋_GBK" w:hAnsi="方正仿宋_GBK" w:eastAsia="方正仿宋_GBK" w:cs="方正仿宋_GBK"/>
          <w:color w:val="000000"/>
          <w:sz w:val="32"/>
          <w:szCs w:val="32"/>
          <w:lang w:bidi="zh-CN"/>
        </w:rPr>
      </w:pPr>
      <w:r>
        <w:rPr>
          <w:sz w:val="32"/>
        </w:rPr>
        <mc:AlternateContent>
          <mc:Choice Requires="wps">
            <w:drawing>
              <wp:anchor distT="0" distB="0" distL="114300" distR="114300" simplePos="0" relativeHeight="251658240" behindDoc="0" locked="0" layoutInCell="1" allowOverlap="1">
                <wp:simplePos x="0" y="0"/>
                <wp:positionH relativeFrom="column">
                  <wp:posOffset>4438650</wp:posOffset>
                </wp:positionH>
                <wp:positionV relativeFrom="paragraph">
                  <wp:posOffset>1127125</wp:posOffset>
                </wp:positionV>
                <wp:extent cx="885190" cy="317500"/>
                <wp:effectExtent l="6350" t="6350" r="22860" b="19050"/>
                <wp:wrapNone/>
                <wp:docPr id="1" name="自选图形 10"/>
                <wp:cNvGraphicFramePr/>
                <a:graphic xmlns:a="http://schemas.openxmlformats.org/drawingml/2006/main">
                  <a:graphicData uri="http://schemas.microsoft.com/office/word/2010/wordprocessingShape">
                    <wps:wsp>
                      <wps:cNvSpPr/>
                      <wps:spPr>
                        <a:xfrm>
                          <a:off x="0" y="0"/>
                          <a:ext cx="885190" cy="317500"/>
                        </a:xfrm>
                        <a:prstGeom prst="roundRect">
                          <a:avLst>
                            <a:gd name="adj" fmla="val 16667"/>
                          </a:avLst>
                        </a:prstGeom>
                        <a:noFill/>
                        <a:ln w="12700" cap="flat" cmpd="sng">
                          <a:solidFill>
                            <a:srgbClr val="C00000"/>
                          </a:solidFill>
                          <a:prstDash val="solid"/>
                          <a:headEnd type="none" w="med" len="med"/>
                          <a:tailEnd type="none" w="med" len="med"/>
                        </a:ln>
                      </wps:spPr>
                      <wps:bodyPr vert="horz" wrap="square" anchor="t" upright="1"/>
                    </wps:wsp>
                  </a:graphicData>
                </a:graphic>
              </wp:anchor>
            </w:drawing>
          </mc:Choice>
          <mc:Fallback>
            <w:pict>
              <v:roundrect id="自选图形 10" o:spid="_x0000_s1026" o:spt="2" style="position:absolute;left:0pt;margin-left:349.5pt;margin-top:88.75pt;height:25pt;width:69.7pt;z-index:251658240;mso-width-relative:page;mso-height-relative:page;" filled="f" stroked="t" coordsize="21600,21600" arcsize="0.166666666666667" o:gfxdata="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SjnNwAAAALAQAADwAA&#10;AAAAAAABACAAAAAiAAAAZHJzL2Rvd25yZXYueG1sUEsBAhQAFAAAAAgAh07iQC7H1wQSAgAA+gMA&#10;AA4AAAAAAAAAAQAgAAAAKwEAAGRycy9lMm9Eb2MueG1sUEsFBgAAAAAGAAYAWQEAAK8FAAAAAA==&#10;">
                <v:fill on="f" focussize="0,0"/>
                <v:stroke weight="1pt" color="#C00000" joinstyle="round"/>
                <v:imagedata o:title=""/>
                <o:lock v:ext="edit" aspectratio="f"/>
              </v:roundrect>
            </w:pict>
          </mc:Fallback>
        </mc:AlternateContent>
      </w:r>
      <w:r>
        <w:rPr>
          <w:rFonts w:hint="eastAsia" w:ascii="方正仿宋_GBK" w:hAnsi="方正仿宋_GBK" w:eastAsia="方正仿宋_GBK" w:cs="方正仿宋_GBK"/>
          <w:color w:val="000000"/>
          <w:sz w:val="32"/>
          <w:szCs w:val="32"/>
          <w:lang w:bidi="zh-CN"/>
        </w:rPr>
        <w:t xml:space="preserve">遵循立德树人、服务发展、促进就业的办学要求，面向临床护理、社区护理、老年护理、急救护理等岗位群，培养德智体美劳全面发展，掌握扎实的科学文化基础和护理基本知识，具备熟练运用基本护理技术的能力，具有救死扶伤精神和信息素养，能够从事护理及养老育幼等工作的护理专门人才。 </w:t>
      </w:r>
    </w:p>
    <w:p>
      <w:pPr>
        <w:adjustRightInd w:val="0"/>
        <w:snapToGrid w:val="0"/>
        <w:spacing w:line="560" w:lineRule="exact"/>
        <w:ind w:firstLine="642" w:firstLineChars="200"/>
        <w:jc w:val="left"/>
        <w:rPr>
          <w:rFonts w:ascii="方正楷体_GBK" w:hAnsi="方正楷体_GBK" w:eastAsia="方正楷体_GBK" w:cs="方正楷体_GBK"/>
          <w:b/>
          <w:color w:val="000000"/>
          <w:sz w:val="32"/>
          <w:szCs w:val="32"/>
        </w:rPr>
      </w:pPr>
      <w:bookmarkStart w:id="76" w:name="_Toc124436455"/>
      <w:bookmarkStart w:id="77" w:name="_Toc124370498"/>
      <w:bookmarkStart w:id="78" w:name="_Toc108031850"/>
      <w:bookmarkStart w:id="79" w:name="_Toc124405383"/>
      <w:bookmarkStart w:id="80" w:name="_Toc124436780"/>
      <w:bookmarkStart w:id="81" w:name="_Toc124436599"/>
      <w:r>
        <w:rPr>
          <w:rFonts w:hint="eastAsia" w:ascii="方正楷体_GBK" w:hAnsi="方正楷体_GBK" w:eastAsia="方正楷体_GBK" w:cs="方正楷体_GBK"/>
          <w:b/>
          <w:color w:val="000000"/>
          <w:sz w:val="32"/>
          <w:szCs w:val="32"/>
        </w:rPr>
        <w:t>（二）培养规格</w:t>
      </w:r>
      <w:bookmarkEnd w:id="76"/>
      <w:bookmarkEnd w:id="77"/>
      <w:bookmarkEnd w:id="78"/>
      <w:bookmarkEnd w:id="79"/>
      <w:bookmarkEnd w:id="80"/>
      <w:bookmarkEnd w:id="81"/>
    </w:p>
    <w:p>
      <w:pPr>
        <w:adjustRightInd w:val="0"/>
        <w:snapToGrid w:val="0"/>
        <w:spacing w:line="560" w:lineRule="exact"/>
        <w:ind w:firstLine="642" w:firstLineChars="200"/>
        <w:jc w:val="left"/>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本专业毕业生应该具有以下素质、知识和能力：</w:t>
      </w:r>
    </w:p>
    <w:p>
      <w:pPr>
        <w:spacing w:line="560" w:lineRule="exact"/>
        <w:ind w:firstLine="634" w:firstLineChars="200"/>
        <w:jc w:val="left"/>
        <w:rPr>
          <w:rFonts w:ascii="方正仿宋_GBK" w:hAnsi="方正仿宋_GBK" w:eastAsia="方正仿宋_GBK" w:cs="方正仿宋_GBK"/>
          <w:b/>
          <w:color w:val="000000"/>
          <w:spacing w:val="-2"/>
          <w:kern w:val="0"/>
          <w:sz w:val="32"/>
          <w:szCs w:val="32"/>
        </w:rPr>
      </w:pPr>
      <w:r>
        <w:rPr>
          <w:rFonts w:hint="eastAsia" w:ascii="方正仿宋_GBK" w:hAnsi="方正仿宋_GBK" w:eastAsia="方正仿宋_GBK" w:cs="方正仿宋_GBK"/>
          <w:b/>
          <w:color w:val="000000"/>
          <w:spacing w:val="-2"/>
          <w:kern w:val="0"/>
          <w:sz w:val="32"/>
          <w:szCs w:val="32"/>
        </w:rPr>
        <w:t>1.素质</w:t>
      </w:r>
      <w:r>
        <w:rPr>
          <w:rFonts w:hint="eastAsia" w:ascii="方正仿宋_GBK" w:hAnsi="方正仿宋_GBK" w:eastAsia="方正仿宋_GBK" w:cs="方正仿宋_GBK"/>
          <w:b/>
          <w:color w:val="000000"/>
          <w:spacing w:val="-2"/>
          <w:kern w:val="0"/>
          <w:sz w:val="32"/>
          <w:szCs w:val="32"/>
        </w:rPr>
        <w:tab/>
      </w:r>
    </w:p>
    <w:p>
      <w:pPr>
        <w:spacing w:line="560" w:lineRule="exact"/>
        <w:ind w:firstLine="642" w:firstLineChars="200"/>
        <w:rPr>
          <w:rFonts w:ascii="方正仿宋_GBK" w:hAnsi="方正仿宋_GBK" w:eastAsia="方正仿宋_GBK" w:cs="方正仿宋_GBK"/>
          <w:color w:val="000000"/>
          <w:sz w:val="32"/>
          <w:szCs w:val="32"/>
          <w:lang w:bidi="zh-CN"/>
        </w:rPr>
      </w:pPr>
      <w:r>
        <w:rPr>
          <w:rFonts w:hint="eastAsia" w:ascii="方正仿宋_GBK" w:hAnsi="方正仿宋_GBK" w:eastAsia="方正仿宋_GBK" w:cs="方正仿宋_GBK"/>
          <w:color w:val="000000"/>
          <w:sz w:val="32"/>
          <w:szCs w:val="32"/>
          <w:lang w:bidi="zh-CN"/>
        </w:rPr>
        <w:t>（1）思想政治素质：坚决拥护中国共产党领导和我国社会主义制度，践行社会主义核心价值观，具有深厚的爱国情感和中华民族自豪感。</w:t>
      </w:r>
    </w:p>
    <w:p>
      <w:pPr>
        <w:spacing w:line="560" w:lineRule="exact"/>
        <w:ind w:firstLine="642" w:firstLineChars="200"/>
        <w:rPr>
          <w:rFonts w:ascii="方正仿宋_GBK" w:hAnsi="方正仿宋_GBK" w:eastAsia="方正仿宋_GBK" w:cs="方正仿宋_GBK"/>
          <w:color w:val="000000"/>
          <w:sz w:val="32"/>
          <w:szCs w:val="32"/>
          <w:lang w:bidi="zh-CN"/>
        </w:rPr>
      </w:pPr>
      <w:r>
        <w:rPr>
          <w:sz w:val="32"/>
        </w:rPr>
        <mc:AlternateContent>
          <mc:Choice Requires="wps">
            <w:drawing>
              <wp:anchor distT="0" distB="0" distL="114300" distR="114300" simplePos="0" relativeHeight="251661312" behindDoc="0" locked="0" layoutInCell="1" allowOverlap="1">
                <wp:simplePos x="0" y="0"/>
                <wp:positionH relativeFrom="column">
                  <wp:posOffset>1030605</wp:posOffset>
                </wp:positionH>
                <wp:positionV relativeFrom="paragraph">
                  <wp:posOffset>1504315</wp:posOffset>
                </wp:positionV>
                <wp:extent cx="3983355" cy="317500"/>
                <wp:effectExtent l="6350" t="6350" r="10795" b="19050"/>
                <wp:wrapNone/>
                <wp:docPr id="4" name="自选图形 11"/>
                <wp:cNvGraphicFramePr/>
                <a:graphic xmlns:a="http://schemas.openxmlformats.org/drawingml/2006/main">
                  <a:graphicData uri="http://schemas.microsoft.com/office/word/2010/wordprocessingShape">
                    <wps:wsp>
                      <wps:cNvSpPr/>
                      <wps:spPr>
                        <a:xfrm>
                          <a:off x="0" y="0"/>
                          <a:ext cx="3983355" cy="317500"/>
                        </a:xfrm>
                        <a:prstGeom prst="roundRect">
                          <a:avLst>
                            <a:gd name="adj" fmla="val 16667"/>
                          </a:avLst>
                        </a:prstGeom>
                        <a:noFill/>
                        <a:ln w="12700" cap="flat" cmpd="sng">
                          <a:solidFill>
                            <a:srgbClr val="C00000"/>
                          </a:solidFill>
                          <a:prstDash val="solid"/>
                          <a:headEnd type="none" w="med" len="med"/>
                          <a:tailEnd type="none" w="med" len="med"/>
                        </a:ln>
                      </wps:spPr>
                      <wps:bodyPr vert="horz" wrap="square" anchor="t" upright="1"/>
                    </wps:wsp>
                  </a:graphicData>
                </a:graphic>
              </wp:anchor>
            </w:drawing>
          </mc:Choice>
          <mc:Fallback>
            <w:pict>
              <v:roundrect id="自选图形 11" o:spid="_x0000_s1026" o:spt="2" style="position:absolute;left:0pt;margin-left:81.15pt;margin-top:118.45pt;height:25pt;width:313.65pt;z-index:251661312;mso-width-relative:page;mso-height-relative:page;" filled="f" stroked="t" coordsize="21600,21600" arcsize="0.166666666666667" o:gfxdata="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mjOY12wAAAAsB&#10;AAAPAAAAAAAAAAEAIAAAACIAAABkcnMvZG93bnJldi54bWxQSwECFAAUAAAACACHTuJAjVfZ4RgC&#10;AAD7AwAADgAAAAAAAAABACAAAAAqAQAAZHJzL2Uyb0RvYy54bWxQSwUGAAAAAAYABgBZAQAAtAUA&#10;AAAA&#10;">
                <v:fill on="f" focussize="0,0"/>
                <v:stroke weight="1pt" color="#C00000" joinstyle="round"/>
                <v:imagedata o:title=""/>
                <o:lock v:ext="edit" aspectratio="f"/>
              </v:roundrect>
            </w:pict>
          </mc:Fallback>
        </mc:AlternateContent>
      </w:r>
      <w:r>
        <w:rPr>
          <w:rFonts w:hint="eastAsia" w:ascii="方正仿宋_GBK" w:hAnsi="方正仿宋_GBK" w:eastAsia="方正仿宋_GBK" w:cs="方正仿宋_GBK"/>
          <w:color w:val="000000"/>
          <w:sz w:val="32"/>
          <w:szCs w:val="32"/>
          <w:lang w:bidi="zh-CN"/>
        </w:rPr>
        <w:t>（2）职业素质：具有良好的职业道德素质，重视护理伦理，能自觉遵守行业法规、规范和企业规章制度；尊重患者，善于沟通，保护服务对象的隐私；具有主动、热情、甘于奉献的服务意识和素质，诚实守信、爱岗敬业和团队协作精神；具有质量意识、环保意识、安全意识、信息素养、工匠精神和创新思维。</w:t>
      </w:r>
    </w:p>
    <w:p>
      <w:pPr>
        <w:spacing w:line="560" w:lineRule="exact"/>
        <w:ind w:firstLine="642" w:firstLineChars="200"/>
        <w:rPr>
          <w:rFonts w:ascii="方正仿宋_GBK" w:hAnsi="方正仿宋_GBK" w:eastAsia="方正仿宋_GBK" w:cs="方正仿宋_GBK"/>
          <w:color w:val="000000"/>
          <w:sz w:val="32"/>
          <w:szCs w:val="32"/>
          <w:lang w:bidi="zh-CN"/>
        </w:rPr>
      </w:pPr>
      <w:r>
        <w:rPr>
          <w:rFonts w:hint="eastAsia" w:ascii="方正仿宋_GBK" w:hAnsi="方正仿宋_GBK" w:eastAsia="方正仿宋_GBK" w:cs="方正仿宋_GBK"/>
          <w:color w:val="000000"/>
          <w:sz w:val="32"/>
          <w:szCs w:val="32"/>
          <w:lang w:bidi="zh-CN"/>
        </w:rPr>
        <w:t>（3）人文素质：具有敬佑生命、救死扶伤、甘于奉献、大爱无疆的医者精神；具有 “以人的健康为中心”的护理理念，具有较强的慎独精神和责任意识。</w:t>
      </w:r>
    </w:p>
    <w:p>
      <w:pPr>
        <w:spacing w:line="560" w:lineRule="exact"/>
        <w:ind w:firstLine="642" w:firstLineChars="200"/>
        <w:rPr>
          <w:rFonts w:ascii="方正仿宋_GBK" w:hAnsi="方正仿宋_GBK" w:eastAsia="方正仿宋_GBK" w:cs="方正仿宋_GBK"/>
          <w:color w:val="000000"/>
          <w:sz w:val="32"/>
          <w:szCs w:val="32"/>
          <w:lang w:bidi="zh-CN"/>
        </w:rPr>
      </w:pPr>
      <w:r>
        <w:rPr>
          <w:rFonts w:hint="eastAsia" w:ascii="方正仿宋_GBK" w:hAnsi="方正仿宋_GBK" w:eastAsia="方正仿宋_GBK" w:cs="方正仿宋_GBK"/>
          <w:color w:val="000000"/>
          <w:sz w:val="32"/>
          <w:szCs w:val="32"/>
          <w:lang w:bidi="zh-CN"/>
        </w:rPr>
        <w:t>（4）身心素质：具有良好的生理、心理状态和社会适应能力，具有适应行业变化、自我提升的潜质和终身学习的基本素质。</w:t>
      </w:r>
    </w:p>
    <w:p>
      <w:pPr>
        <w:spacing w:line="560" w:lineRule="exact"/>
        <w:ind w:firstLine="634" w:firstLineChars="200"/>
        <w:jc w:val="left"/>
        <w:rPr>
          <w:rFonts w:ascii="方正仿宋_GBK" w:hAnsi="方正仿宋_GBK" w:eastAsia="方正仿宋_GBK" w:cs="方正仿宋_GBK"/>
          <w:b/>
          <w:color w:val="000000"/>
          <w:spacing w:val="-2"/>
          <w:kern w:val="0"/>
          <w:sz w:val="32"/>
          <w:szCs w:val="32"/>
        </w:rPr>
      </w:pPr>
    </w:p>
    <w:p>
      <w:pPr>
        <w:spacing w:line="560" w:lineRule="exact"/>
        <w:ind w:firstLine="634" w:firstLineChars="200"/>
        <w:jc w:val="left"/>
        <w:rPr>
          <w:rFonts w:ascii="方正仿宋_GBK" w:hAnsi="方正仿宋_GBK" w:eastAsia="方正仿宋_GBK" w:cs="方正仿宋_GBK"/>
          <w:b/>
          <w:color w:val="000000"/>
          <w:spacing w:val="-2"/>
          <w:kern w:val="0"/>
          <w:sz w:val="32"/>
          <w:szCs w:val="32"/>
          <w:highlight w:val="none"/>
        </w:rPr>
      </w:pPr>
      <w:r>
        <w:rPr>
          <w:rFonts w:hint="eastAsia" w:ascii="方正仿宋_GBK" w:hAnsi="方正仿宋_GBK" w:eastAsia="方正仿宋_GBK" w:cs="方正仿宋_GBK"/>
          <w:b/>
          <w:color w:val="000000"/>
          <w:spacing w:val="-2"/>
          <w:kern w:val="0"/>
          <w:sz w:val="32"/>
          <w:szCs w:val="32"/>
          <w:highlight w:val="none"/>
        </w:rPr>
        <w:t>2.知识</w:t>
      </w:r>
    </w:p>
    <w:p>
      <w:pPr>
        <w:spacing w:line="560" w:lineRule="exact"/>
        <w:ind w:firstLine="642" w:firstLineChars="200"/>
        <w:rPr>
          <w:rFonts w:ascii="方正仿宋_GBK" w:hAnsi="方正仿宋_GBK" w:eastAsia="方正仿宋_GBK" w:cs="方正仿宋_GBK"/>
          <w:color w:val="000000"/>
          <w:sz w:val="32"/>
          <w:szCs w:val="32"/>
          <w:lang w:bidi="zh-CN"/>
        </w:rPr>
      </w:pPr>
      <w:r>
        <w:rPr>
          <w:rFonts w:hint="eastAsia" w:ascii="方正仿宋_GBK" w:hAnsi="方正仿宋_GBK" w:eastAsia="方正仿宋_GBK" w:cs="方正仿宋_GBK"/>
          <w:color w:val="000000"/>
          <w:sz w:val="32"/>
          <w:szCs w:val="32"/>
        </w:rPr>
        <w:t>（1）</w:t>
      </w:r>
      <w:r>
        <w:rPr>
          <w:rFonts w:hint="eastAsia" w:ascii="方正仿宋_GBK" w:hAnsi="方正仿宋_GBK" w:eastAsia="方正仿宋_GBK" w:cs="方正仿宋_GBK"/>
          <w:color w:val="000000"/>
          <w:sz w:val="32"/>
          <w:szCs w:val="32"/>
          <w:lang w:bidi="zh-CN"/>
        </w:rPr>
        <w:t>掌握护理专业必要的人文社会科学的基本理论和基本知识；</w:t>
      </w:r>
    </w:p>
    <w:p>
      <w:pPr>
        <w:spacing w:line="560" w:lineRule="exact"/>
        <w:ind w:firstLine="642" w:firstLineChars="200"/>
        <w:rPr>
          <w:rFonts w:ascii="方正仿宋_GBK" w:hAnsi="方正仿宋_GBK" w:eastAsia="方正仿宋_GBK" w:cs="方正仿宋_GBK"/>
          <w:color w:val="000000"/>
          <w:sz w:val="32"/>
          <w:szCs w:val="32"/>
          <w:lang w:bidi="zh-CN"/>
        </w:rPr>
      </w:pPr>
      <w:r>
        <w:rPr>
          <w:rFonts w:hint="eastAsia" w:ascii="方正仿宋_GBK" w:hAnsi="方正仿宋_GBK" w:eastAsia="方正仿宋_GBK" w:cs="方正仿宋_GBK"/>
          <w:color w:val="000000"/>
          <w:sz w:val="32"/>
          <w:szCs w:val="32"/>
          <w:lang w:bidi="zh-CN"/>
        </w:rPr>
        <w:t>（2）掌握医疗卫生法律法规和护理伦理、人际沟通、护理心理等相关知识；</w:t>
      </w:r>
    </w:p>
    <w:p>
      <w:pPr>
        <w:adjustRightInd w:val="0"/>
        <w:snapToGrid w:val="0"/>
        <w:spacing w:line="560" w:lineRule="exact"/>
        <w:ind w:firstLine="642" w:firstLineChars="200"/>
        <w:jc w:val="left"/>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（3）掌握正常人体组织结构与生理功能、病理基本知识和护理用药知识。</w:t>
      </w:r>
    </w:p>
    <w:p>
      <w:pPr>
        <w:adjustRightInd w:val="0"/>
        <w:snapToGrid w:val="0"/>
        <w:spacing w:line="560" w:lineRule="exact"/>
        <w:ind w:firstLine="642" w:firstLineChars="200"/>
        <w:jc w:val="left"/>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（4）掌握基础护理和内科、外科、妇产科、儿科、传染科等临床各科护理的基本知识。</w:t>
      </w:r>
    </w:p>
    <w:p>
      <w:pPr>
        <w:adjustRightInd w:val="0"/>
        <w:snapToGrid w:val="0"/>
        <w:spacing w:line="560" w:lineRule="exact"/>
        <w:ind w:firstLine="642" w:firstLineChars="200"/>
        <w:jc w:val="left"/>
        <w:rPr>
          <w:rFonts w:ascii="方正仿宋_GBK" w:hAnsi="方正仿宋_GBK" w:eastAsia="方正仿宋_GBK" w:cs="方正仿宋_GBK"/>
          <w:color w:val="000000"/>
          <w:sz w:val="32"/>
          <w:szCs w:val="32"/>
          <w:lang w:bidi="zh-CN"/>
        </w:rPr>
      </w:pPr>
      <w:r>
        <w:rPr>
          <w:rFonts w:hint="eastAsia" w:ascii="方正仿宋_GBK" w:hAnsi="方正仿宋_GBK" w:eastAsia="方正仿宋_GBK" w:cs="方正仿宋_GBK"/>
          <w:color w:val="000000"/>
          <w:sz w:val="32"/>
          <w:szCs w:val="32"/>
        </w:rPr>
        <w:t>（5）熟悉社区传染病防治以及突发公共卫生事件应对知识。</w:t>
      </w:r>
      <w:r>
        <w:rPr>
          <w:rFonts w:hint="eastAsia" w:ascii="方正仿宋_GBK" w:hAnsi="方正仿宋_GBK" w:eastAsia="方正仿宋_GBK" w:cs="方正仿宋_GBK"/>
          <w:color w:val="000000"/>
          <w:sz w:val="32"/>
          <w:szCs w:val="32"/>
          <w:lang w:bidi="zh-CN"/>
        </w:rPr>
        <w:t xml:space="preserve"> </w:t>
      </w:r>
    </w:p>
    <w:p>
      <w:pPr>
        <w:spacing w:line="560" w:lineRule="exact"/>
        <w:ind w:firstLine="634" w:firstLineChars="200"/>
        <w:jc w:val="left"/>
        <w:rPr>
          <w:rFonts w:ascii="方正仿宋_GBK" w:hAnsi="方正仿宋_GBK" w:eastAsia="方正仿宋_GBK" w:cs="方正仿宋_GBK"/>
          <w:b/>
          <w:color w:val="000000"/>
          <w:spacing w:val="-2"/>
          <w:kern w:val="0"/>
          <w:sz w:val="32"/>
          <w:szCs w:val="32"/>
        </w:rPr>
      </w:pPr>
      <w:r>
        <w:rPr>
          <w:rFonts w:hint="eastAsia" w:ascii="方正仿宋_GBK" w:hAnsi="方正仿宋_GBK" w:eastAsia="方正仿宋_GBK" w:cs="方正仿宋_GBK"/>
          <w:b/>
          <w:color w:val="000000"/>
          <w:spacing w:val="-2"/>
          <w:kern w:val="0"/>
          <w:sz w:val="32"/>
          <w:szCs w:val="32"/>
        </w:rPr>
        <w:t>3.能力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（1）具有探究学习、终身学习、分析问题和解决问题能力；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（2）具有良好的语言和文字表达能力；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（3）具备基础护理和专科护理技术操作能力；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（4）具备一定的临床护理思维能力，运用护理程序实施整体护理的能力；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（5）具备正确使用药物和用药监护的能力；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（6）能够独立进行常见</w:t>
      </w:r>
      <w:r>
        <w:rPr>
          <w:rFonts w:hint="default" w:ascii="方正仿宋_GBK" w:hAnsi="方正仿宋_GBK" w:eastAsia="方正仿宋_GBK" w:cs="方正仿宋_GBK"/>
          <w:color w:val="000000"/>
          <w:sz w:val="32"/>
          <w:szCs w:val="32"/>
        </w:rPr>
        <w:t>危、急、重、慢性等</w:t>
      </w:r>
      <w:r>
        <w:rPr>
          <w:rFonts w:hint="eastAsia" w:ascii="方正仿宋_GBK" w:hAnsi="方正仿宋_GBK" w:eastAsia="方正仿宋_GBK" w:cs="方正仿宋_GBK"/>
          <w:color w:val="000000"/>
          <w:sz w:val="32"/>
          <w:szCs w:val="32"/>
        </w:rPr>
        <w:t>疾病的健康教育和卫生保健指导；</w:t>
      </w:r>
    </w:p>
    <w:p>
      <w:pPr>
        <w:spacing w:line="560" w:lineRule="exact"/>
        <w:ind w:firstLine="642" w:firstLineChars="200"/>
        <w:rPr>
          <w:rFonts w:hint="default" w:ascii="方正仿宋_GBK" w:hAnsi="方正仿宋_GBK" w:eastAsia="方正仿宋_GBK" w:cs="方正仿宋_GBK"/>
          <w:color w:val="00000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-17145</wp:posOffset>
                </wp:positionH>
                <wp:positionV relativeFrom="paragraph">
                  <wp:posOffset>429260</wp:posOffset>
                </wp:positionV>
                <wp:extent cx="2237105" cy="317500"/>
                <wp:effectExtent l="6350" t="6350" r="23495" b="19050"/>
                <wp:wrapNone/>
                <wp:docPr id="6" name="自选图形 13"/>
                <wp:cNvGraphicFramePr/>
                <a:graphic xmlns:a="http://schemas.openxmlformats.org/drawingml/2006/main">
                  <a:graphicData uri="http://schemas.microsoft.com/office/word/2010/wordprocessingShape">
                    <wps:wsp>
                      <wps:cNvSpPr/>
                      <wps:spPr>
                        <a:xfrm>
                          <a:off x="0" y="0"/>
                          <a:ext cx="2237105" cy="317500"/>
                        </a:xfrm>
                        <a:prstGeom prst="roundRect">
                          <a:avLst>
                            <a:gd name="adj" fmla="val 16667"/>
                          </a:avLst>
                        </a:prstGeom>
                        <a:noFill/>
                        <a:ln w="12700" cap="flat" cmpd="sng">
                          <a:solidFill>
                            <a:srgbClr val="C00000"/>
                          </a:solidFill>
                          <a:prstDash val="solid"/>
                          <a:headEnd type="none" w="med" len="med"/>
                          <a:tailEnd type="none" w="med" len="med"/>
                        </a:ln>
                      </wps:spPr>
                      <wps:bodyPr vert="horz" wrap="square" anchor="t" upright="1"/>
                    </wps:wsp>
                  </a:graphicData>
                </a:graphic>
              </wp:anchor>
            </w:drawing>
          </mc:Choice>
          <mc:Fallback>
            <w:pict>
              <v:roundrect id="自选图形 13" o:spid="_x0000_s1026" o:spt="2" style="position:absolute;left:0pt;margin-left:-1.35pt;margin-top:33.8pt;height:25pt;width:176.15pt;z-index:251663360;mso-width-relative:page;mso-height-relative:page;" filled="f" stroked="t" coordsize="21600,21600" arcsize="0.166666666666667" o:gfxdata="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DUzdJ2gAAAAkBAAAP&#10;AAAAAAAAAAEAIAAAACIAAABkcnMvZG93bnJldi54bWxQSwECFAAUAAAACACHTuJAJSFw9xYCAAD7&#10;AwAADgAAAAAAAAABACAAAAApAQAAZHJzL2Uyb0RvYy54bWxQSwUGAAAAAAYABgBZAQAAsQUAAAAA&#10;">
                <v:fill on="f" focussize="0,0"/>
                <v:stroke weight="1pt" color="#C00000" joinstyle="round"/>
                <v:imagedata o:title=""/>
                <o:lock v:ext="edit" aspectratio="f"/>
              </v:roundrect>
            </w:pict>
          </mc:Fallback>
        </mc:AlternateContent>
      </w:r>
      <w:r>
        <w:rPr>
          <w:sz w:val="32"/>
        </w:rPr>
        <mc:AlternateContent>
          <mc:Choice Requires="wps">
            <w:drawing>
              <wp:anchor distT="0" distB="0" distL="114300" distR="114300" simplePos="0" relativeHeight="251662336" behindDoc="0" locked="0" layoutInCell="1" allowOverlap="1">
                <wp:simplePos x="0" y="0"/>
                <wp:positionH relativeFrom="column">
                  <wp:posOffset>939800</wp:posOffset>
                </wp:positionH>
                <wp:positionV relativeFrom="paragraph">
                  <wp:posOffset>67945</wp:posOffset>
                </wp:positionV>
                <wp:extent cx="4786630" cy="317500"/>
                <wp:effectExtent l="6350" t="6350" r="7620" b="19050"/>
                <wp:wrapNone/>
                <wp:docPr id="5" name="自选图形 12"/>
                <wp:cNvGraphicFramePr/>
                <a:graphic xmlns:a="http://schemas.openxmlformats.org/drawingml/2006/main">
                  <a:graphicData uri="http://schemas.microsoft.com/office/word/2010/wordprocessingShape">
                    <wps:wsp>
                      <wps:cNvSpPr/>
                      <wps:spPr>
                        <a:xfrm>
                          <a:off x="0" y="0"/>
                          <a:ext cx="4786630" cy="317500"/>
                        </a:xfrm>
                        <a:prstGeom prst="roundRect">
                          <a:avLst>
                            <a:gd name="adj" fmla="val 16667"/>
                          </a:avLst>
                        </a:prstGeom>
                        <a:noFill/>
                        <a:ln w="12700" cap="flat" cmpd="sng">
                          <a:solidFill>
                            <a:srgbClr val="C00000"/>
                          </a:solidFill>
                          <a:prstDash val="solid"/>
                          <a:headEnd type="none" w="med" len="med"/>
                          <a:tailEnd type="none" w="med" len="med"/>
                        </a:ln>
                      </wps:spPr>
                      <wps:bodyPr vert="horz" wrap="square" anchor="t" upright="1"/>
                    </wps:wsp>
                  </a:graphicData>
                </a:graphic>
              </wp:anchor>
            </w:drawing>
          </mc:Choice>
          <mc:Fallback>
            <w:pict>
              <v:roundrect id="自选图形 12" o:spid="_x0000_s1026" o:spt="2" style="position:absolute;left:0pt;margin-left:74pt;margin-top:5.35pt;height:25pt;width:376.9pt;z-index:251662336;mso-width-relative:page;mso-height-relative:page;" filled="f" stroked="t" coordsize="21600,21600" arcsize="0.166666666666667" o:gfxdata="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AoKt4fZAAAACQEAAA8A&#10;AAAAAAAAAQAgAAAAIgAAAGRycy9kb3ducmV2LnhtbFBLAQIUABQAAAAIAIdO4kCglL00FgIAAPsD&#10;AAAOAAAAAAAAAAEAIAAAACgBAABkcnMvZTJvRG9jLnhtbFBLBQYAAAAABgAGAFkBAACwBQAAAAA=&#10;">
                <v:fill on="f" focussize="0,0"/>
                <v:stroke weight="1pt" color="#C00000" joinstyle="round"/>
                <v:imagedata o:title=""/>
                <o:lock v:ext="edit" aspectratio="f"/>
              </v:roundrect>
            </w:pict>
          </mc:Fallback>
        </mc:AlternateContent>
      </w:r>
      <w:r>
        <w:rPr>
          <w:rFonts w:hint="eastAsia" w:ascii="方正仿宋_GBK" w:hAnsi="方正仿宋_GBK" w:eastAsia="方正仿宋_GBK" w:cs="方正仿宋_GBK"/>
          <w:color w:val="000000"/>
          <w:sz w:val="32"/>
          <w:szCs w:val="32"/>
        </w:rPr>
        <w:t>（7）</w:t>
      </w:r>
      <w:r>
        <w:rPr>
          <w:rFonts w:hint="default" w:ascii="方正仿宋_GBK" w:hAnsi="方正仿宋_GBK" w:eastAsia="方正仿宋_GBK" w:cs="方正仿宋_GBK"/>
          <w:color w:val="000000"/>
          <w:sz w:val="32"/>
          <w:szCs w:val="32"/>
        </w:rPr>
        <w:t>能运用的一定的信息技术手段提高工作效率，提升服务质量和创新工作方法；</w:t>
      </w:r>
    </w:p>
    <w:p>
      <w:pPr>
        <w:spacing w:line="560" w:lineRule="exact"/>
        <w:ind w:firstLine="642" w:firstLineChars="200"/>
        <w:rPr>
          <w:rFonts w:hint="default"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（8）具有良好的独立思考、团队协作和人际沟通能力</w:t>
      </w:r>
      <w:r>
        <w:rPr>
          <w:rFonts w:hint="default" w:ascii="方正仿宋_GBK" w:hAnsi="方正仿宋_GBK" w:eastAsia="方正仿宋_GBK" w:cs="方正仿宋_GBK"/>
          <w:color w:val="000000"/>
          <w:sz w:val="32"/>
          <w:szCs w:val="32"/>
        </w:rPr>
        <w:t>。</w:t>
      </w:r>
    </w:p>
    <w:p>
      <w:pPr>
        <w:autoSpaceDE w:val="0"/>
        <w:autoSpaceDN w:val="0"/>
        <w:adjustRightInd w:val="0"/>
        <w:spacing w:line="560" w:lineRule="exact"/>
        <w:ind w:firstLine="642" w:firstLineChars="200"/>
        <w:jc w:val="left"/>
        <w:rPr>
          <w:rFonts w:ascii="方正仿宋_GBK" w:hAnsi="方正仿宋_GBK" w:eastAsia="方正仿宋_GBK" w:cs="方正仿宋_GBK"/>
          <w:b/>
          <w:color w:val="000000"/>
          <w:kern w:val="0"/>
          <w:sz w:val="32"/>
          <w:szCs w:val="32"/>
        </w:rPr>
      </w:pPr>
      <w:r>
        <w:rPr>
          <w:rFonts w:hint="eastAsia" w:ascii="方正仿宋_GBK" w:hAnsi="方正仿宋_GBK" w:eastAsia="方正仿宋_GBK" w:cs="方正仿宋_GBK"/>
          <w:b/>
          <w:color w:val="000000"/>
          <w:kern w:val="0"/>
          <w:sz w:val="32"/>
          <w:szCs w:val="32"/>
        </w:rPr>
        <w:t>专业（技能）方向1——急救护理</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1.具有急救护理的基本理论知识和技能；</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2.具有对急、危、重症患者进行应急处理和配合抢救的基本能力；</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3.具有操作呼吸机、心电监护仪、输液泵、除颤仪等仪器的能力。</w:t>
      </w:r>
    </w:p>
    <w:p>
      <w:pPr>
        <w:spacing w:line="560" w:lineRule="exact"/>
        <w:ind w:firstLine="642" w:firstLineChars="200"/>
        <w:rPr>
          <w:rFonts w:ascii="方正仿宋_GBK" w:hAnsi="方正仿宋_GBK" w:eastAsia="方正仿宋_GBK" w:cs="方正仿宋_GBK"/>
          <w:b/>
          <w:color w:val="000000"/>
          <w:sz w:val="32"/>
          <w:szCs w:val="32"/>
        </w:rPr>
      </w:pPr>
      <w:r>
        <w:rPr>
          <w:rFonts w:hint="eastAsia" w:ascii="方正仿宋_GBK" w:eastAsia="方正仿宋_GBK"/>
          <w:b/>
          <w:color w:val="000000"/>
          <w:sz w:val="32"/>
          <w:szCs w:val="32"/>
        </w:rPr>
        <w:t>专业（技能）方向2——社区护理</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1.具有社区护理的基本理论知识和技能；</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2.具有进行社区健康教育的基本理论知识和技能；</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3.具有对社区常见慢性病和传染病患者进行社区管理与护理的能力。</w:t>
      </w:r>
    </w:p>
    <w:p>
      <w:pPr>
        <w:spacing w:line="560" w:lineRule="exact"/>
        <w:ind w:firstLine="642" w:firstLineChars="200"/>
        <w:rPr>
          <w:rFonts w:ascii="方正仿宋_GBK" w:hAnsi="方正仿宋_GBK" w:eastAsia="方正仿宋_GBK" w:cs="方正仿宋_GBK"/>
          <w:b/>
          <w:color w:val="000000"/>
          <w:sz w:val="32"/>
          <w:szCs w:val="32"/>
        </w:rPr>
      </w:pPr>
      <w:r>
        <w:rPr>
          <w:rFonts w:hint="eastAsia" w:ascii="方正仿宋_GBK" w:eastAsia="方正仿宋_GBK"/>
          <w:b/>
          <w:color w:val="000000"/>
          <w:sz w:val="32"/>
          <w:szCs w:val="32"/>
        </w:rPr>
        <w:t>专业（技能）方向3——老年护理</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1.具有老年生理、心理、日常生活护理等方面的知识；</w:t>
      </w:r>
    </w:p>
    <w:p>
      <w:pPr>
        <w:autoSpaceDE w:val="0"/>
        <w:autoSpaceDN w:val="0"/>
        <w:adjustRightInd w:val="0"/>
        <w:spacing w:line="560" w:lineRule="exact"/>
        <w:ind w:firstLine="642"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2.具有对老年人进行健康评估，对老年常见病进行防治与护理的基本能力；</w:t>
      </w:r>
    </w:p>
    <w:p>
      <w:pPr>
        <w:spacing w:line="560" w:lineRule="exact"/>
        <w:ind w:firstLine="642" w:firstLineChars="200"/>
        <w:rPr>
          <w:rFonts w:ascii="方正仿宋_GBK" w:hAnsi="方正仿宋_GBK" w:eastAsia="方正仿宋_GBK" w:cs="方正仿宋_GBK"/>
          <w:color w:val="000000"/>
          <w:sz w:val="32"/>
          <w:szCs w:val="32"/>
        </w:rPr>
      </w:pPr>
      <w:r>
        <w:rPr>
          <w:rFonts w:hint="eastAsia" w:ascii="方正仿宋_GBK" w:eastAsia="方正仿宋_GBK"/>
          <w:color w:val="000000"/>
          <w:sz w:val="32"/>
          <w:szCs w:val="32"/>
        </w:rPr>
        <w:t>3.具有对老年人进行自我保健指导的基本知识和能力。</w:t>
      </w:r>
    </w:p>
    <w:p>
      <w:pPr>
        <w:spacing w:line="560" w:lineRule="exact"/>
        <w:ind w:firstLine="642" w:firstLineChars="200"/>
        <w:rPr>
          <w:rFonts w:ascii="方正仿宋_GBK" w:hAnsi="方正仿宋_GBK" w:eastAsia="方正仿宋_GBK" w:cs="方正仿宋_GBK"/>
          <w:color w:val="000000"/>
          <w:sz w:val="32"/>
          <w:szCs w:val="32"/>
        </w:rPr>
      </w:pPr>
    </w:p>
    <w:p>
      <w:pPr>
        <w:rPr>
          <w:rFonts w:ascii="宋体" w:hAnsi="宋体"/>
          <w:bCs/>
          <w:color w:val="000000"/>
          <w:sz w:val="28"/>
          <w:szCs w:val="28"/>
        </w:rPr>
        <w:sectPr>
          <w:headerReference r:id="rId5" w:type="default"/>
          <w:footerReference r:id="rId6" w:type="default"/>
          <w:pgSz w:w="11906" w:h="16838"/>
          <w:pgMar w:top="1417" w:right="1417" w:bottom="1417" w:left="1417" w:header="851" w:footer="992" w:gutter="0"/>
          <w:cols w:space="720" w:num="1"/>
          <w:docGrid w:type="linesAndChars" w:linePitch="312" w:charSpace="409"/>
        </w:sectPr>
      </w:pPr>
    </w:p>
    <w:p>
      <w:pPr>
        <w:keepNext/>
        <w:keepLines/>
        <w:spacing w:line="560" w:lineRule="exact"/>
        <w:ind w:firstLine="642" w:firstLineChars="200"/>
        <w:rPr>
          <w:rFonts w:ascii="方正黑体_GBK" w:hAnsi="方正黑体_GBK" w:eastAsia="方正黑体_GBK" w:cs="方正黑体_GBK"/>
          <w:b/>
          <w:color w:val="000000"/>
          <w:kern w:val="44"/>
          <w:sz w:val="32"/>
          <w:szCs w:val="32"/>
        </w:rPr>
      </w:pPr>
      <w:bookmarkStart w:id="82" w:name="_Toc124436009"/>
      <w:bookmarkStart w:id="83" w:name="_Toc124405384"/>
      <w:bookmarkStart w:id="84" w:name="_Toc121436594"/>
      <w:bookmarkStart w:id="85" w:name="_Toc124436456"/>
      <w:bookmarkStart w:id="86" w:name="_Toc124436781"/>
      <w:bookmarkStart w:id="87" w:name="_Toc124370499"/>
      <w:bookmarkStart w:id="88" w:name="_Toc108031851"/>
      <w:bookmarkStart w:id="89" w:name="_Toc124436600"/>
      <w:r>
        <w:rPr>
          <w:rFonts w:hint="eastAsia" w:ascii="方正黑体_GBK" w:hAnsi="方正黑体_GBK" w:eastAsia="方正黑体_GBK" w:cs="方正黑体_GBK"/>
          <w:b/>
          <w:color w:val="000000"/>
          <w:kern w:val="44"/>
          <w:sz w:val="32"/>
          <w:szCs w:val="32"/>
        </w:rPr>
        <w:t>六、课程设置及要求</w:t>
      </w:r>
      <w:bookmarkEnd w:id="82"/>
      <w:bookmarkEnd w:id="83"/>
      <w:bookmarkEnd w:id="84"/>
      <w:bookmarkEnd w:id="85"/>
      <w:bookmarkEnd w:id="86"/>
      <w:bookmarkEnd w:id="87"/>
      <w:bookmarkEnd w:id="88"/>
      <w:bookmarkEnd w:id="89"/>
    </w:p>
    <w:p>
      <w:pPr>
        <w:keepNext/>
        <w:keepLines/>
        <w:spacing w:line="560" w:lineRule="exact"/>
        <w:ind w:firstLine="642" w:firstLineChars="200"/>
        <w:rPr>
          <w:rFonts w:ascii="方正楷体_GBK" w:hAnsi="方正楷体_GBK" w:eastAsia="方正楷体_GBK" w:cs="方正楷体_GBK"/>
          <w:b/>
          <w:bCs/>
          <w:color w:val="000000"/>
          <w:sz w:val="32"/>
          <w:szCs w:val="32"/>
        </w:rPr>
      </w:pPr>
      <w:bookmarkStart w:id="90" w:name="_Toc124405385"/>
      <w:bookmarkStart w:id="91" w:name="_Toc108031852"/>
      <w:bookmarkStart w:id="92" w:name="_Toc124436782"/>
      <w:bookmarkStart w:id="93" w:name="_Toc124436601"/>
      <w:bookmarkStart w:id="94" w:name="_Toc124436457"/>
      <w:bookmarkStart w:id="95" w:name="_Toc124370500"/>
      <w:r>
        <w:rPr>
          <w:rFonts w:hint="eastAsia" w:ascii="方正楷体_GBK" w:hAnsi="方正楷体_GBK" w:eastAsia="方正楷体_GBK" w:cs="方正楷体_GBK"/>
          <w:b/>
          <w:bCs/>
          <w:color w:val="000000"/>
          <w:sz w:val="32"/>
          <w:szCs w:val="32"/>
        </w:rPr>
        <w:t>（一）课程结构</w:t>
      </w:r>
      <w:bookmarkEnd w:id="90"/>
      <w:bookmarkEnd w:id="91"/>
      <w:bookmarkEnd w:id="92"/>
      <w:bookmarkEnd w:id="93"/>
      <w:bookmarkEnd w:id="94"/>
      <w:bookmarkEnd w:id="95"/>
    </w:p>
    <w:p>
      <w:pPr>
        <w:rPr>
          <w:color w:val="000000"/>
        </w:rPr>
      </w:pPr>
      <w:r>
        <w:rPr>
          <w:color w:val="000000"/>
          <w:sz w:val="21"/>
        </w:rPr>
        <mc:AlternateContent>
          <mc:Choice Requires="wps">
            <w:drawing>
              <wp:anchor distT="0" distB="0" distL="114300" distR="114300" simplePos="0" relativeHeight="251660288" behindDoc="0" locked="0" layoutInCell="1" allowOverlap="1">
                <wp:simplePos x="0" y="0"/>
                <wp:positionH relativeFrom="column">
                  <wp:posOffset>5099050</wp:posOffset>
                </wp:positionH>
                <wp:positionV relativeFrom="paragraph">
                  <wp:posOffset>2618105</wp:posOffset>
                </wp:positionV>
                <wp:extent cx="427355" cy="1806575"/>
                <wp:effectExtent l="6350" t="6350" r="23495" b="15875"/>
                <wp:wrapNone/>
                <wp:docPr id="3" name="矩形 3"/>
                <wp:cNvGraphicFramePr/>
                <a:graphic xmlns:a="http://schemas.openxmlformats.org/drawingml/2006/main">
                  <a:graphicData uri="http://schemas.microsoft.com/office/word/2010/wordprocessingShape">
                    <wps:wsp>
                      <wps:cNvSpPr/>
                      <wps:spPr>
                        <a:xfrm>
                          <a:off x="0" y="0"/>
                          <a:ext cx="427355" cy="1806575"/>
                        </a:xfrm>
                        <a:prstGeom prst="rect">
                          <a:avLst/>
                        </a:prstGeom>
                        <a:noFill/>
                        <a:ln w="12700" cap="flat" cmpd="sng">
                          <a:solidFill>
                            <a:srgbClr val="C00000"/>
                          </a:solidFill>
                          <a:prstDash val="solid"/>
                          <a:miter/>
                          <a:headEnd type="none" w="med" len="med"/>
                          <a:tailEnd type="none" w="med" len="med"/>
                        </a:ln>
                      </wps:spPr>
                      <wps:bodyPr vert="horz" wrap="square" anchor="t" upright="1"/>
                    </wps:wsp>
                  </a:graphicData>
                </a:graphic>
              </wp:anchor>
            </w:drawing>
          </mc:Choice>
          <mc:Fallback>
            <w:pict>
              <v:rect id="_x0000_s1026" o:spid="_x0000_s1026" o:spt="1" style="position:absolute;left:0pt;margin-left:401.5pt;margin-top:206.15pt;height:142.25pt;width:33.65pt;z-index:251660288;mso-width-relative:page;mso-height-relative:page;" filled="f" stroked="t" coordsize="21600,21600" o:gfxdata="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njEfbtoAAAALAQAADwAAAAAAAAABACAAAAAiAAAAZHJzL2Rvd25yZXYueG1s&#10;UEsBAhQAFAAAAAgAh07iQKIlbzn2AQAAzQMAAA4AAAAAAAAAAQAgAAAAKQEAAGRycy9lMm9Eb2Mu&#10;eG1sUEsFBgAAAAAGAAYAWQEAAJEFAAAAAA==&#10;">
                <v:fill on="f" focussize="0,0"/>
                <v:stroke weight="1pt" color="#C00000" joinstyle="miter"/>
                <v:imagedata o:title=""/>
                <o:lock v:ext="edit" aspectratio="f"/>
              </v:rect>
            </w:pict>
          </mc:Fallback>
        </mc:AlternateContent>
      </w:r>
      <w:r>
        <w:rPr>
          <w:color w:val="000000"/>
        </w:rPr>
        <w:drawing>
          <wp:anchor distT="0" distB="0" distL="114300" distR="114300" simplePos="0" relativeHeight="251659264" behindDoc="1" locked="0" layoutInCell="1" allowOverlap="1">
            <wp:simplePos x="0" y="0"/>
            <wp:positionH relativeFrom="column">
              <wp:posOffset>24765</wp:posOffset>
            </wp:positionH>
            <wp:positionV relativeFrom="page">
              <wp:posOffset>1774190</wp:posOffset>
            </wp:positionV>
            <wp:extent cx="8866505" cy="4456430"/>
            <wp:effectExtent l="0" t="0" r="10795" b="1270"/>
            <wp:wrapTopAndBottom/>
            <wp:docPr id="2"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5"/>
                    <pic:cNvPicPr>
                      <a:picLocks noChangeAspect="1"/>
                    </pic:cNvPicPr>
                  </pic:nvPicPr>
                  <pic:blipFill>
                    <a:blip r:embed="rId9"/>
                    <a:srcRect t="4263"/>
                    <a:stretch>
                      <a:fillRect/>
                    </a:stretch>
                  </pic:blipFill>
                  <pic:spPr>
                    <a:xfrm>
                      <a:off x="0" y="0"/>
                      <a:ext cx="8866505" cy="4456430"/>
                    </a:xfrm>
                    <a:prstGeom prst="rect">
                      <a:avLst/>
                    </a:prstGeom>
                    <a:noFill/>
                    <a:ln>
                      <a:noFill/>
                    </a:ln>
                  </pic:spPr>
                </pic:pic>
              </a:graphicData>
            </a:graphic>
          </wp:anchor>
        </w:drawing>
      </w:r>
    </w:p>
    <w:p>
      <w:pPr>
        <w:spacing w:line="560" w:lineRule="exact"/>
        <w:rPr>
          <w:color w:val="000000"/>
        </w:rPr>
        <w:sectPr>
          <w:pgSz w:w="16838" w:h="11906" w:orient="landscape"/>
          <w:pgMar w:top="1417" w:right="1417" w:bottom="1417" w:left="1417" w:header="851" w:footer="992" w:gutter="0"/>
          <w:cols w:space="720" w:num="1"/>
          <w:docGrid w:type="linesAndChars" w:linePitch="312" w:charSpace="409"/>
        </w:sectPr>
      </w:pPr>
    </w:p>
    <w:p>
      <w:pPr>
        <w:keepNext/>
        <w:keepLines/>
        <w:spacing w:line="560" w:lineRule="exact"/>
        <w:ind w:firstLine="650" w:firstLineChars="200"/>
        <w:rPr>
          <w:rFonts w:ascii="方正楷体_GBK" w:hAnsi="方正楷体_GBK" w:eastAsia="方正楷体_GBK" w:cs="方正楷体_GBK"/>
          <w:b/>
          <w:color w:val="000000"/>
          <w:sz w:val="32"/>
          <w:szCs w:val="32"/>
        </w:rPr>
      </w:pPr>
      <w:bookmarkStart w:id="96" w:name="_Toc124405386"/>
      <w:bookmarkStart w:id="97" w:name="_Toc124436602"/>
      <w:bookmarkStart w:id="98" w:name="_Toc124436783"/>
      <w:bookmarkStart w:id="99" w:name="_Toc124370501"/>
      <w:bookmarkStart w:id="100" w:name="_Toc108031853"/>
      <w:bookmarkStart w:id="101" w:name="_Toc124436458"/>
      <w:r>
        <w:rPr>
          <w:rFonts w:hint="eastAsia" w:ascii="方正楷体_GBK" w:hAnsi="方正楷体_GBK" w:eastAsia="方正楷体_GBK" w:cs="方正楷体_GBK"/>
          <w:b/>
          <w:color w:val="000000"/>
          <w:sz w:val="32"/>
          <w:szCs w:val="32"/>
        </w:rPr>
        <w:t>（二）课程设置及要求</w:t>
      </w:r>
      <w:bookmarkEnd w:id="96"/>
      <w:bookmarkEnd w:id="97"/>
      <w:bookmarkEnd w:id="98"/>
      <w:bookmarkEnd w:id="99"/>
      <w:bookmarkEnd w:id="100"/>
      <w:bookmarkEnd w:id="101"/>
    </w:p>
    <w:p>
      <w:pPr>
        <w:autoSpaceDE w:val="0"/>
        <w:autoSpaceDN w:val="0"/>
        <w:adjustRightInd w:val="0"/>
        <w:spacing w:line="560" w:lineRule="exact"/>
        <w:ind w:firstLine="650" w:firstLineChars="200"/>
        <w:jc w:val="left"/>
        <w:rPr>
          <w:rFonts w:ascii="方正仿宋_GBK" w:hAnsi="方正仿宋_GBK" w:eastAsia="方正仿宋_GBK" w:cs="方正仿宋_GBK"/>
          <w:color w:val="000000"/>
          <w:kern w:val="0"/>
          <w:sz w:val="32"/>
          <w:szCs w:val="32"/>
        </w:rPr>
      </w:pPr>
      <w:r>
        <w:rPr>
          <w:rFonts w:hint="eastAsia" w:ascii="方正仿宋_GBK" w:hAnsi="方正仿宋_GBK" w:eastAsia="方正仿宋_GBK" w:cs="方正仿宋_GBK"/>
          <w:color w:val="000000"/>
          <w:kern w:val="0"/>
          <w:sz w:val="32"/>
          <w:szCs w:val="32"/>
        </w:rPr>
        <w:t>本专业的课程设置分为公共基础课程和专业技能课程。将思想政治教育和“三全育人”等改革要求融入专业课程，把立德树人贯彻到思想道德教育、文化知识教育、技术技能培养、顶岗实习教育等环节。</w:t>
      </w:r>
    </w:p>
    <w:p>
      <w:pPr>
        <w:spacing w:line="560" w:lineRule="exact"/>
        <w:ind w:firstLine="650" w:firstLineChars="200"/>
        <w:rPr>
          <w:rFonts w:ascii="方正仿宋_GBK" w:hAnsi="方正仿宋_GBK" w:eastAsia="方正仿宋_GBK" w:cs="方正仿宋_GBK"/>
          <w:color w:val="000000"/>
          <w:sz w:val="32"/>
          <w:szCs w:val="32"/>
        </w:rPr>
      </w:pPr>
      <w:r>
        <w:rPr>
          <w:rFonts w:hint="eastAsia" w:ascii="方正仿宋_GBK" w:eastAsia="方正仿宋_GBK"/>
          <w:color w:val="000000"/>
          <w:sz w:val="32"/>
          <w:szCs w:val="32"/>
        </w:rPr>
        <w:t>根据学生全面发展，公共基础课包括必修课和选修课，选修课包括限定选修课和任意选修课。专业技能课包括专业核心课、专业技能（方向）课和专业选修课，综合实践是专业（技能）课教学的重要内容，含岗位认知、岗位见习和岗位实习等多种形式。</w:t>
      </w:r>
      <w:r>
        <w:rPr>
          <w:rFonts w:ascii="方正仿宋_GBK" w:hAnsi="方正仿宋_GBK" w:eastAsia="方正仿宋_GBK" w:cs="方正仿宋_GBK"/>
          <w:color w:val="000000"/>
          <w:sz w:val="32"/>
          <w:szCs w:val="32"/>
        </w:rPr>
        <w:t xml:space="preserve"> </w:t>
      </w:r>
    </w:p>
    <w:p>
      <w:pPr>
        <w:spacing w:line="560" w:lineRule="exact"/>
        <w:ind w:firstLine="650" w:firstLineChars="200"/>
        <w:rPr>
          <w:rFonts w:ascii="方正仿宋_GBK" w:hAnsi="方正仿宋_GBK" w:eastAsia="方正仿宋_GBK" w:cs="方正仿宋_GBK"/>
          <w:b/>
          <w:color w:val="000000"/>
          <w:spacing w:val="-2"/>
          <w:kern w:val="0"/>
          <w:sz w:val="32"/>
          <w:szCs w:val="32"/>
        </w:rPr>
      </w:pPr>
      <w:r>
        <w:rPr>
          <w:rFonts w:hint="eastAsia" w:ascii="方正仿宋_GBK" w:hAnsi="方正仿宋_GBK" w:eastAsia="方正仿宋_GBK" w:cs="方正仿宋_GBK"/>
          <w:color w:val="000000"/>
          <w:sz w:val="32"/>
          <w:szCs w:val="32"/>
        </w:rPr>
        <w:t xml:space="preserve">  </w:t>
      </w:r>
      <w:r>
        <w:rPr>
          <w:rFonts w:hint="eastAsia" w:ascii="方正仿宋_GBK" w:hAnsi="方正仿宋_GBK" w:eastAsia="方正仿宋_GBK" w:cs="方正仿宋_GBK"/>
          <w:b/>
          <w:color w:val="000000"/>
          <w:spacing w:val="-2"/>
          <w:kern w:val="0"/>
          <w:sz w:val="32"/>
          <w:szCs w:val="32"/>
        </w:rPr>
        <w:t>1.公共基础课程</w:t>
      </w:r>
    </w:p>
    <w:p>
      <w:pPr>
        <w:spacing w:line="560" w:lineRule="exact"/>
        <w:ind w:firstLine="650" w:firstLineChars="200"/>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（1）公共基础必修课</w:t>
      </w:r>
    </w:p>
    <w:tbl>
      <w:tblPr>
        <w:tblStyle w:val="6"/>
        <w:tblW w:w="9214" w:type="dxa"/>
        <w:tblInd w:w="108" w:type="dxa"/>
        <w:tblLayout w:type="fixed"/>
        <w:tblCellMar>
          <w:top w:w="0" w:type="dxa"/>
          <w:left w:w="108" w:type="dxa"/>
          <w:bottom w:w="0" w:type="dxa"/>
          <w:right w:w="108" w:type="dxa"/>
        </w:tblCellMar>
      </w:tblPr>
      <w:tblGrid>
        <w:gridCol w:w="851"/>
        <w:gridCol w:w="1559"/>
        <w:gridCol w:w="5528"/>
        <w:gridCol w:w="1276"/>
      </w:tblGrid>
      <w:tr>
        <w:tblPrEx>
          <w:tblCellMar>
            <w:top w:w="0" w:type="dxa"/>
            <w:left w:w="108" w:type="dxa"/>
            <w:bottom w:w="0" w:type="dxa"/>
            <w:right w:w="108" w:type="dxa"/>
          </w:tblCellMar>
        </w:tblPrEx>
        <w:trPr>
          <w:trHeight w:val="458" w:hRule="atLeast"/>
        </w:trPr>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b/>
                <w:bCs/>
                <w:color w:val="000000"/>
                <w:sz w:val="24"/>
                <w:szCs w:val="24"/>
              </w:rPr>
            </w:pPr>
            <w:r>
              <w:rPr>
                <w:rFonts w:hint="eastAsia" w:ascii="方正仿宋_GBK" w:hAnsi="仿宋" w:eastAsia="方正仿宋_GBK" w:cs="方正仿宋_GBK"/>
                <w:b/>
                <w:bCs/>
                <w:color w:val="000000"/>
                <w:sz w:val="24"/>
                <w:szCs w:val="24"/>
              </w:rPr>
              <w:t>序号</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b/>
                <w:bCs/>
                <w:color w:val="000000"/>
                <w:sz w:val="24"/>
                <w:szCs w:val="24"/>
              </w:rPr>
            </w:pPr>
            <w:r>
              <w:rPr>
                <w:rFonts w:hint="eastAsia" w:ascii="方正仿宋_GBK" w:hAnsi="仿宋" w:eastAsia="方正仿宋_GBK" w:cs="方正仿宋_GBK"/>
                <w:b/>
                <w:bCs/>
                <w:color w:val="000000"/>
                <w:sz w:val="24"/>
                <w:szCs w:val="24"/>
              </w:rPr>
              <w:t>课程名称</w:t>
            </w:r>
          </w:p>
        </w:tc>
        <w:tc>
          <w:tcPr>
            <w:tcW w:w="5528"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b/>
                <w:color w:val="000000"/>
                <w:sz w:val="24"/>
                <w:szCs w:val="24"/>
              </w:rPr>
            </w:pPr>
            <w:r>
              <w:rPr>
                <w:rFonts w:hint="eastAsia" w:ascii="方正仿宋_GBK" w:hAnsi="仿宋" w:eastAsia="方正仿宋_GBK" w:cs="方正仿宋_GBK"/>
                <w:b/>
                <w:color w:val="000000"/>
                <w:sz w:val="24"/>
                <w:szCs w:val="24"/>
              </w:rPr>
              <w:t>教学内容和要求</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b/>
                <w:color w:val="000000"/>
                <w:sz w:val="24"/>
                <w:szCs w:val="24"/>
              </w:rPr>
            </w:pPr>
            <w:r>
              <w:rPr>
                <w:rFonts w:hint="eastAsia" w:ascii="方正仿宋_GBK" w:hAnsi="仿宋" w:eastAsia="方正仿宋_GBK" w:cs="方正仿宋_GBK"/>
                <w:b/>
                <w:color w:val="000000"/>
                <w:sz w:val="24"/>
                <w:szCs w:val="24"/>
              </w:rPr>
              <w:t>参考课时</w:t>
            </w:r>
          </w:p>
        </w:tc>
      </w:tr>
      <w:tr>
        <w:tblPrEx>
          <w:tblCellMar>
            <w:top w:w="0" w:type="dxa"/>
            <w:left w:w="108" w:type="dxa"/>
            <w:bottom w:w="0" w:type="dxa"/>
            <w:right w:w="108" w:type="dxa"/>
          </w:tblCellMar>
        </w:tblPrEx>
        <w:trPr>
          <w:trHeight w:val="1130" w:hRule="atLeast"/>
        </w:trPr>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1</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思想政治1：中国特色社会主义</w:t>
            </w:r>
          </w:p>
        </w:tc>
        <w:tc>
          <w:tcPr>
            <w:tcW w:w="5528"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pacing w:line="360" w:lineRule="exact"/>
              <w:rPr>
                <w:rFonts w:ascii="方正仿宋_GBK" w:hAnsi="仿宋" w:eastAsia="方正仿宋_GBK" w:cs="仿宋"/>
                <w:color w:val="000000"/>
                <w:kern w:val="0"/>
                <w:sz w:val="24"/>
                <w:szCs w:val="24"/>
              </w:rPr>
            </w:pPr>
            <w:r>
              <w:rPr>
                <w:rFonts w:hint="eastAsia" w:ascii="方正仿宋_GBK" w:hAnsi="仿宋" w:eastAsia="方正仿宋_GBK" w:cs="方正仿宋_GBK"/>
                <w:bCs/>
                <w:color w:val="000000"/>
                <w:sz w:val="24"/>
                <w:szCs w:val="24"/>
              </w:rPr>
              <w:t>依据教育部</w:t>
            </w:r>
            <w:r>
              <w:rPr>
                <w:rFonts w:hint="eastAsia" w:ascii="方正仿宋_GBK" w:hAnsi="仿宋" w:eastAsia="方正仿宋_GBK" w:cs="仿宋"/>
                <w:color w:val="000000"/>
                <w:kern w:val="0"/>
                <w:sz w:val="24"/>
                <w:szCs w:val="24"/>
              </w:rPr>
              <w:t>《中等职业学校思想政治课程标准》</w:t>
            </w:r>
            <w:r>
              <w:rPr>
                <w:rFonts w:hint="eastAsia" w:ascii="方正仿宋_GBK" w:hAnsi="仿宋" w:eastAsia="方正仿宋_GBK" w:cs="方正仿宋_GBK"/>
                <w:bCs/>
                <w:color w:val="000000"/>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2</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思想政治2：心理健康与职业生涯规划</w:t>
            </w:r>
          </w:p>
        </w:tc>
        <w:tc>
          <w:tcPr>
            <w:tcW w:w="5528"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方正仿宋_GBK"/>
                <w:bCs/>
                <w:color w:val="000000"/>
                <w:sz w:val="24"/>
                <w:szCs w:val="24"/>
              </w:rPr>
              <w:t>依据教育部</w:t>
            </w:r>
            <w:r>
              <w:rPr>
                <w:rFonts w:hint="eastAsia" w:ascii="方正仿宋_GBK" w:hAnsi="仿宋" w:eastAsia="方正仿宋_GBK" w:cs="仿宋"/>
                <w:color w:val="000000"/>
                <w:sz w:val="24"/>
                <w:szCs w:val="24"/>
              </w:rPr>
              <w:t>《中等职业学校思想政治课程标准》</w:t>
            </w:r>
            <w:r>
              <w:rPr>
                <w:rFonts w:hint="eastAsia" w:ascii="方正仿宋_GBK" w:hAnsi="仿宋" w:eastAsia="方正仿宋_GBK" w:cs="方正仿宋_GBK"/>
                <w:bCs/>
                <w:color w:val="000000"/>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3</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思想政治3：职业道德与法治</w:t>
            </w:r>
          </w:p>
        </w:tc>
        <w:tc>
          <w:tcPr>
            <w:tcW w:w="5528"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方正仿宋_GBK"/>
                <w:bCs/>
                <w:color w:val="000000"/>
                <w:sz w:val="24"/>
                <w:szCs w:val="24"/>
              </w:rPr>
              <w:t>依据教育部</w:t>
            </w:r>
            <w:r>
              <w:rPr>
                <w:rFonts w:hint="eastAsia" w:ascii="方正仿宋_GBK" w:hAnsi="仿宋" w:eastAsia="方正仿宋_GBK" w:cs="仿宋"/>
                <w:color w:val="000000"/>
                <w:sz w:val="24"/>
                <w:szCs w:val="24"/>
              </w:rPr>
              <w:t>《中等职业学校思想政治课程标准》</w:t>
            </w:r>
            <w:r>
              <w:rPr>
                <w:rFonts w:hint="eastAsia" w:ascii="方正仿宋_GBK" w:hAnsi="仿宋" w:eastAsia="方正仿宋_GBK" w:cs="方正仿宋_GBK"/>
                <w:bCs/>
                <w:color w:val="000000"/>
                <w:sz w:val="24"/>
                <w:szCs w:val="24"/>
              </w:rPr>
              <w:t>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4</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思想政治4：哲学与人生</w:t>
            </w:r>
          </w:p>
        </w:tc>
        <w:tc>
          <w:tcPr>
            <w:tcW w:w="5528"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仿宋"/>
                <w:color w:val="000000"/>
                <w:sz w:val="24"/>
                <w:szCs w:val="24"/>
              </w:rPr>
            </w:pPr>
            <w:r>
              <w:rPr>
                <w:rFonts w:hint="eastAsia" w:ascii="方正仿宋_GBK" w:hAnsi="仿宋" w:eastAsia="方正仿宋_GBK" w:cs="方正仿宋_GBK"/>
                <w:bCs/>
                <w:color w:val="000000"/>
                <w:sz w:val="24"/>
                <w:szCs w:val="24"/>
              </w:rPr>
              <w:t>依据教育部</w:t>
            </w:r>
            <w:r>
              <w:rPr>
                <w:rFonts w:hint="eastAsia" w:ascii="方正仿宋_GBK" w:hAnsi="仿宋" w:eastAsia="方正仿宋_GBK" w:cs="仿宋"/>
                <w:color w:val="000000"/>
                <w:sz w:val="24"/>
                <w:szCs w:val="24"/>
              </w:rPr>
              <w:t>《中等职业学校思想政治课程标准》</w:t>
            </w:r>
            <w:r>
              <w:rPr>
                <w:rFonts w:hint="eastAsia" w:ascii="方正仿宋_GBK" w:hAnsi="仿宋" w:eastAsia="方正仿宋_GBK" w:cs="方正仿宋_GBK"/>
                <w:bCs/>
                <w:color w:val="000000"/>
                <w:sz w:val="24"/>
                <w:szCs w:val="24"/>
              </w:rPr>
              <w:t>开设，并与学生专业能力发展和职业岗位需求密切结合。</w:t>
            </w:r>
            <w:r>
              <w:rPr>
                <w:rFonts w:hint="eastAsia" w:ascii="方正仿宋_GBK" w:hAnsi="仿宋" w:eastAsia="方正仿宋_GBK" w:cs="仿宋"/>
                <w:color w:val="000000"/>
                <w:sz w:val="24"/>
                <w:szCs w:val="24"/>
              </w:rPr>
              <w:t xml:space="preserve"> </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仿宋"/>
                <w:color w:val="000000"/>
                <w:sz w:val="24"/>
                <w:szCs w:val="24"/>
              </w:rPr>
            </w:pPr>
            <w:r>
              <w:rPr>
                <w:rFonts w:hint="eastAsia" w:ascii="方正仿宋_GBK" w:hAnsi="仿宋" w:eastAsia="方正仿宋_GBK" w:cs="仿宋"/>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5</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劳动教育</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 xml:space="preserve">依据《中等职业学校劳动教育课程标准》开设，帮助学生树立马克思主义劳动观，积累劳动经验，培养劳动习惯。 </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6</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语文</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color w:val="000000"/>
                <w:sz w:val="24"/>
                <w:szCs w:val="24"/>
              </w:rPr>
            </w:pPr>
            <w:r>
              <w:rPr>
                <w:rFonts w:hint="eastAsia" w:ascii="方正仿宋_GBK" w:hAnsi="仿宋" w:eastAsia="方正仿宋_GBK" w:cs="方正仿宋_GBK"/>
                <w:bCs/>
                <w:color w:val="000000"/>
                <w:sz w:val="24"/>
                <w:szCs w:val="24"/>
              </w:rPr>
              <w:t>依据教育部《中等职业学校语文课程标准》开设，并与学生专业能力发展和职业岗位需求密切结合。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216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7</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数学</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color w:val="000000"/>
                <w:sz w:val="24"/>
                <w:szCs w:val="24"/>
              </w:rPr>
            </w:pPr>
            <w:r>
              <w:rPr>
                <w:rFonts w:hint="eastAsia" w:ascii="方正仿宋_GBK" w:hAnsi="仿宋" w:eastAsia="方正仿宋_GBK" w:cs="方正仿宋_GBK"/>
                <w:bCs/>
                <w:color w:val="000000"/>
                <w:sz w:val="24"/>
                <w:szCs w:val="24"/>
              </w:rPr>
              <w:t>依据教育部《中等职业学校数学课程标准》开设，并与学生专业能力发展和职业岗位需求密切结合。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8</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英语</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color w:val="000000"/>
                <w:sz w:val="24"/>
                <w:szCs w:val="24"/>
              </w:rPr>
            </w:pPr>
            <w:r>
              <w:rPr>
                <w:rFonts w:hint="eastAsia" w:ascii="方正仿宋_GBK" w:hAnsi="仿宋" w:eastAsia="方正仿宋_GBK" w:cs="方正仿宋_GBK"/>
                <w:bCs/>
                <w:color w:val="000000"/>
                <w:sz w:val="24"/>
                <w:szCs w:val="24"/>
              </w:rPr>
              <w:t>依据教育部《中等职业学校英语课程标准》开设，并与学生专业能力发展和职业岗位需求密切结合。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9</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sz w:val="32"/>
              </w:rPr>
              <mc:AlternateContent>
                <mc:Choice Requires="wps">
                  <w:drawing>
                    <wp:anchor distT="0" distB="0" distL="114300" distR="114300" simplePos="0" relativeHeight="251664384" behindDoc="0" locked="0" layoutInCell="1" allowOverlap="1">
                      <wp:simplePos x="0" y="0"/>
                      <wp:positionH relativeFrom="column">
                        <wp:posOffset>-43815</wp:posOffset>
                      </wp:positionH>
                      <wp:positionV relativeFrom="paragraph">
                        <wp:posOffset>454660</wp:posOffset>
                      </wp:positionV>
                      <wp:extent cx="5271135" cy="706120"/>
                      <wp:effectExtent l="6350" t="6350" r="18415" b="11430"/>
                      <wp:wrapNone/>
                      <wp:docPr id="7" name="自选图形 14"/>
                      <wp:cNvGraphicFramePr/>
                      <a:graphic xmlns:a="http://schemas.openxmlformats.org/drawingml/2006/main">
                        <a:graphicData uri="http://schemas.microsoft.com/office/word/2010/wordprocessingShape">
                          <wps:wsp>
                            <wps:cNvSpPr/>
                            <wps:spPr>
                              <a:xfrm>
                                <a:off x="0" y="0"/>
                                <a:ext cx="5271135" cy="706120"/>
                              </a:xfrm>
                              <a:prstGeom prst="roundRect">
                                <a:avLst>
                                  <a:gd name="adj" fmla="val 16667"/>
                                </a:avLst>
                              </a:prstGeom>
                              <a:noFill/>
                              <a:ln w="12700" cap="flat" cmpd="sng">
                                <a:solidFill>
                                  <a:srgbClr val="C00000"/>
                                </a:solidFill>
                                <a:prstDash val="solid"/>
                                <a:headEnd type="none" w="med" len="med"/>
                                <a:tailEnd type="none" w="med" len="med"/>
                              </a:ln>
                            </wps:spPr>
                            <wps:bodyPr vert="horz" wrap="square" anchor="t" upright="1"/>
                          </wps:wsp>
                        </a:graphicData>
                      </a:graphic>
                    </wp:anchor>
                  </w:drawing>
                </mc:Choice>
                <mc:Fallback>
                  <w:pict>
                    <v:roundrect id="自选图形 14" o:spid="_x0000_s1026" o:spt="2" style="position:absolute;left:0pt;margin-left:-3.45pt;margin-top:35.8pt;height:55.6pt;width:415.05pt;z-index:251664384;mso-width-relative:page;mso-height-relative:page;" filled="f" stroked="t" coordsize="21600,21600" arcsize="0.166666666666667" o:gfxdata="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BBmx13aAAAACQEAAA8A&#10;AAAAAAAAAQAgAAAAIgAAAGRycy9kb3ducmV2LnhtbFBLAQIUABQAAAAIAIdO4kBzuAR7FQIAAPsD&#10;AAAOAAAAAAAAAAEAIAAAACkBAABkcnMvZTJvRG9jLnhtbFBLBQYAAAAABgAGAFkBAACwBQAAAAA=&#10;">
                      <v:fill on="f" focussize="0,0"/>
                      <v:stroke weight="1pt" color="#C00000" joinstyle="round"/>
                      <v:imagedata o:title=""/>
                      <o:lock v:ext="edit" aspectratio="f"/>
                    </v:roundrect>
                  </w:pict>
                </mc:Fallback>
              </mc:AlternateContent>
            </w:r>
            <w:r>
              <w:rPr>
                <w:rFonts w:hint="eastAsia" w:ascii="方正仿宋_GBK" w:hAnsi="仿宋" w:eastAsia="方正仿宋_GBK" w:cs="方正仿宋_GBK"/>
                <w:bCs/>
                <w:color w:val="000000"/>
                <w:sz w:val="24"/>
                <w:szCs w:val="24"/>
              </w:rPr>
              <w:t>历史</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color w:val="000000"/>
                <w:sz w:val="24"/>
                <w:szCs w:val="24"/>
              </w:rPr>
            </w:pPr>
            <w:r>
              <w:rPr>
                <w:rFonts w:hint="eastAsia" w:ascii="方正仿宋_GBK" w:hAnsi="仿宋" w:eastAsia="方正仿宋_GBK" w:cs="方正仿宋_GBK"/>
                <w:bCs/>
                <w:color w:val="000000"/>
                <w:sz w:val="24"/>
                <w:szCs w:val="24"/>
              </w:rPr>
              <w:t>依据教育部《中等职业学校历史课程标准》开设，并与学生专业能力发展和职业岗位需求密切结合。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10</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信息技术</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color w:val="000000"/>
                <w:sz w:val="24"/>
                <w:szCs w:val="24"/>
              </w:rPr>
            </w:pPr>
            <w:r>
              <w:rPr>
                <w:rFonts w:hint="eastAsia" w:ascii="方正仿宋_GBK" w:hAnsi="仿宋" w:eastAsia="方正仿宋_GBK" w:cs="方正仿宋_GBK"/>
                <w:bCs/>
                <w:color w:val="000000"/>
                <w:sz w:val="24"/>
                <w:szCs w:val="24"/>
                <w:shd w:val="clear" w:color="auto" w:fill="auto"/>
              </w:rPr>
              <w:t>依据教育部《中等职业学校信息技术课程标准》开设，并与学生专业能力发展和职业岗位需求密切结合。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hint="default" w:ascii="方正仿宋_GBK" w:hAnsi="仿宋" w:eastAsia="方正仿宋_GBK" w:cs="方正仿宋_GBK"/>
                <w:color w:val="000000"/>
                <w:sz w:val="24"/>
                <w:szCs w:val="24"/>
                <w:lang w:val="en-US" w:eastAsia="zh-CN"/>
              </w:rPr>
            </w:pPr>
            <w:r>
              <w:rPr>
                <w:rFonts w:hint="eastAsia" w:ascii="方正仿宋_GBK" w:hAnsi="仿宋" w:eastAsia="方正仿宋_GBK" w:cs="方正仿宋_GBK"/>
                <w:color w:val="000000"/>
                <w:sz w:val="24"/>
                <w:szCs w:val="24"/>
                <w:lang w:val="en-US" w:eastAsia="zh-CN"/>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11</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体育与健康</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依据教育部《中等职业学校体育与健康课程标准》开设，并与学生专业能力发展和职业岗位需求密切结合。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12</w:t>
            </w:r>
          </w:p>
        </w:tc>
        <w:tc>
          <w:tcPr>
            <w:tcW w:w="1559"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艺术</w:t>
            </w:r>
          </w:p>
        </w:tc>
        <w:tc>
          <w:tcPr>
            <w:tcW w:w="552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仿宋" w:eastAsia="方正仿宋_GBK" w:cs="方正仿宋_GBK"/>
                <w:bCs/>
                <w:color w:val="000000"/>
                <w:sz w:val="24"/>
                <w:szCs w:val="24"/>
              </w:rPr>
            </w:pPr>
            <w:r>
              <w:rPr>
                <w:rFonts w:hint="eastAsia" w:ascii="方正仿宋_GBK" w:hAnsi="仿宋" w:eastAsia="方正仿宋_GBK" w:cs="方正仿宋_GBK"/>
                <w:bCs/>
                <w:color w:val="000000"/>
                <w:sz w:val="24"/>
                <w:szCs w:val="24"/>
              </w:rPr>
              <w:t>依据教育部《中等职业学校艺术课程标准》开设，并与学生专业能力发展和职业岗位需求密切结合。</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仿宋" w:eastAsia="方正仿宋_GBK" w:cs="方正仿宋_GBK"/>
                <w:color w:val="000000"/>
                <w:sz w:val="24"/>
                <w:szCs w:val="24"/>
              </w:rPr>
            </w:pPr>
            <w:r>
              <w:rPr>
                <w:rFonts w:hint="eastAsia" w:ascii="方正仿宋_GBK" w:hAnsi="仿宋" w:eastAsia="方正仿宋_GBK" w:cs="方正仿宋_GBK"/>
                <w:color w:val="000000"/>
                <w:sz w:val="24"/>
                <w:szCs w:val="24"/>
              </w:rPr>
              <w:t>36</w:t>
            </w:r>
          </w:p>
        </w:tc>
      </w:tr>
    </w:tbl>
    <w:p>
      <w:pPr>
        <w:spacing w:line="560" w:lineRule="exact"/>
        <w:ind w:firstLine="650" w:firstLineChars="200"/>
        <w:rPr>
          <w:rFonts w:ascii="方正仿宋_GBK" w:hAnsi="方正仿宋_GBK" w:eastAsia="方正仿宋_GBK" w:cs="方正仿宋_GBK"/>
          <w:b/>
          <w:color w:val="000000"/>
          <w:sz w:val="32"/>
          <w:szCs w:val="32"/>
        </w:rPr>
      </w:pPr>
    </w:p>
    <w:p>
      <w:pPr>
        <w:spacing w:line="560" w:lineRule="exact"/>
        <w:ind w:firstLine="650" w:firstLineChars="200"/>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（2）限定选修课</w:t>
      </w:r>
    </w:p>
    <w:p>
      <w:pPr>
        <w:spacing w:line="560" w:lineRule="exact"/>
        <w:ind w:firstLine="650" w:firstLineChars="200"/>
        <w:rPr>
          <w:rFonts w:ascii="方正仿宋_GBK" w:eastAsia="方正仿宋_GBK"/>
          <w:color w:val="000000"/>
          <w:sz w:val="32"/>
          <w:szCs w:val="32"/>
        </w:rPr>
      </w:pPr>
      <w:r>
        <w:rPr>
          <w:rFonts w:hint="eastAsia" w:ascii="方正仿宋_GBK" w:eastAsia="方正仿宋_GBK"/>
          <w:color w:val="000000"/>
          <w:sz w:val="32"/>
          <w:szCs w:val="32"/>
        </w:rPr>
        <w:t>为培养岗位职业道德、人文素养，开设医学人文素养、人际沟通等4门课程，学生需完成3门课程的选修。</w:t>
      </w:r>
    </w:p>
    <w:tbl>
      <w:tblPr>
        <w:tblStyle w:val="6"/>
        <w:tblW w:w="9214" w:type="dxa"/>
        <w:tblInd w:w="108" w:type="dxa"/>
        <w:tblLayout w:type="fixed"/>
        <w:tblCellMar>
          <w:top w:w="0" w:type="dxa"/>
          <w:left w:w="108" w:type="dxa"/>
          <w:bottom w:w="0" w:type="dxa"/>
          <w:right w:w="108" w:type="dxa"/>
        </w:tblCellMar>
      </w:tblPr>
      <w:tblGrid>
        <w:gridCol w:w="864"/>
        <w:gridCol w:w="1263"/>
        <w:gridCol w:w="5518"/>
        <w:gridCol w:w="1569"/>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序号</w:t>
            </w:r>
          </w:p>
        </w:tc>
        <w:tc>
          <w:tcPr>
            <w:tcW w:w="1263"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课程名称</w:t>
            </w:r>
          </w:p>
        </w:tc>
        <w:tc>
          <w:tcPr>
            <w:tcW w:w="5518"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教学内容和要求</w:t>
            </w:r>
          </w:p>
        </w:tc>
        <w:tc>
          <w:tcPr>
            <w:tcW w:w="1569"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参考课时</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w:t>
            </w:r>
          </w:p>
        </w:tc>
        <w:tc>
          <w:tcPr>
            <w:tcW w:w="1263" w:type="dxa"/>
            <w:tcBorders>
              <w:top w:val="single" w:color="auto" w:sz="4" w:space="0"/>
              <w:left w:val="nil"/>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医学人文</w:t>
            </w:r>
          </w:p>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素养</w:t>
            </w:r>
          </w:p>
        </w:tc>
        <w:tc>
          <w:tcPr>
            <w:tcW w:w="5518" w:type="dxa"/>
            <w:tcBorders>
              <w:top w:val="single" w:color="auto" w:sz="4" w:space="0"/>
              <w:left w:val="nil"/>
              <w:right w:val="single" w:color="auto" w:sz="4" w:space="0"/>
            </w:tcBorders>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掌握基本的人文知识、养成基本的行为规范和基本的品格,从而为学生能够顺利走向临床工作岗位,达到临床医务工作所需的人文素质奠定基础。</w:t>
            </w:r>
          </w:p>
        </w:tc>
        <w:tc>
          <w:tcPr>
            <w:tcW w:w="1569" w:type="dxa"/>
            <w:tcBorders>
              <w:top w:val="single" w:color="auto" w:sz="4" w:space="0"/>
              <w:left w:val="nil"/>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w:t>
            </w:r>
          </w:p>
        </w:tc>
        <w:tc>
          <w:tcPr>
            <w:tcW w:w="1263" w:type="dxa"/>
            <w:tcBorders>
              <w:top w:val="single" w:color="auto" w:sz="4" w:space="0"/>
              <w:left w:val="nil"/>
              <w:right w:val="single" w:color="auto" w:sz="4" w:space="0"/>
            </w:tcBorders>
            <w:noWrap w:val="0"/>
            <w:vAlign w:val="center"/>
          </w:tcPr>
          <w:p>
            <w:pPr>
              <w:spacing w:line="36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人际沟通</w:t>
            </w:r>
          </w:p>
        </w:tc>
        <w:tc>
          <w:tcPr>
            <w:tcW w:w="5518" w:type="dxa"/>
            <w:tcBorders>
              <w:top w:val="single" w:color="auto" w:sz="4" w:space="0"/>
              <w:left w:val="nil"/>
              <w:right w:val="single" w:color="auto" w:sz="4" w:space="0"/>
            </w:tcBorders>
            <w:noWrap w:val="0"/>
            <w:vAlign w:val="top"/>
          </w:tcPr>
          <w:p>
            <w:pPr>
              <w:autoSpaceDE w:val="0"/>
              <w:autoSpaceDN w:val="0"/>
              <w:adjustRightInd w:val="0"/>
              <w:spacing w:line="360" w:lineRule="exact"/>
              <w:rPr>
                <w:rFonts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掌握人际沟通的相关理论和技巧，全面培养学生的沟通实践能力，提高其综合素质和社会适应性，为学生专业能力的发挥和可持续发展打下良好基础</w:t>
            </w:r>
          </w:p>
          <w:p>
            <w:pPr>
              <w:spacing w:line="360" w:lineRule="exact"/>
              <w:rPr>
                <w:rFonts w:ascii="方正仿宋_GBK" w:hAnsi="方正仿宋_GBK" w:eastAsia="方正仿宋_GBK" w:cs="方正仿宋_GBK"/>
                <w:bCs/>
                <w:color w:val="000000"/>
                <w:sz w:val="24"/>
                <w:szCs w:val="24"/>
              </w:rPr>
            </w:pPr>
          </w:p>
        </w:tc>
        <w:tc>
          <w:tcPr>
            <w:tcW w:w="1569" w:type="dxa"/>
            <w:tcBorders>
              <w:top w:val="single" w:color="auto" w:sz="4" w:space="0"/>
              <w:left w:val="nil"/>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w:t>
            </w:r>
          </w:p>
        </w:tc>
        <w:tc>
          <w:tcPr>
            <w:tcW w:w="126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护理礼仪</w:t>
            </w:r>
          </w:p>
        </w:tc>
        <w:tc>
          <w:tcPr>
            <w:tcW w:w="5518" w:type="dxa"/>
            <w:tcBorders>
              <w:top w:val="single" w:color="auto" w:sz="4" w:space="0"/>
              <w:left w:val="nil"/>
              <w:bottom w:val="single" w:color="auto" w:sz="4" w:space="0"/>
              <w:right w:val="single" w:color="auto" w:sz="4" w:space="0"/>
            </w:tcBorders>
            <w:noWrap w:val="0"/>
            <w:vAlign w:val="top"/>
          </w:tcPr>
          <w:p>
            <w:pPr>
              <w:autoSpaceDE w:val="0"/>
              <w:autoSpaceDN w:val="0"/>
              <w:adjustRightInd w:val="0"/>
              <w:spacing w:line="360" w:lineRule="exact"/>
              <w:rPr>
                <w:rFonts w:ascii="方正仿宋_GBK" w:hAnsi="方正仿宋_GBK" w:eastAsia="方正仿宋_GBK" w:cs="方正仿宋_GBK"/>
                <w:bCs/>
                <w:color w:val="000000"/>
                <w:kern w:val="0"/>
                <w:sz w:val="24"/>
                <w:szCs w:val="24"/>
              </w:rPr>
            </w:pPr>
            <w:r>
              <w:rPr>
                <w:rFonts w:hint="eastAsia" w:ascii="方正仿宋_GBK" w:hAnsi="方正仿宋_GBK" w:eastAsia="方正仿宋_GBK" w:cs="方正仿宋_GBK"/>
                <w:color w:val="000000"/>
                <w:kern w:val="0"/>
                <w:sz w:val="24"/>
                <w:szCs w:val="24"/>
              </w:rPr>
              <w:t>掌握礼仪基本内涵，了解礼仪知识，懂得遵守礼仪规范的重要性。掌握护理礼仪的内容、特征和规范，能在实际工作中加以运用，提高从事护理工作的实际能力。培养学生的现代交际素质，适应社会发展和护理职业的需要。</w:t>
            </w:r>
          </w:p>
        </w:tc>
        <w:tc>
          <w:tcPr>
            <w:tcW w:w="1569"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rPr>
          <w:trHeight w:val="862" w:hRule="atLeast"/>
        </w:trPr>
        <w:tc>
          <w:tcPr>
            <w:tcW w:w="86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4</w:t>
            </w:r>
          </w:p>
        </w:tc>
        <w:tc>
          <w:tcPr>
            <w:tcW w:w="126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医用化学基础</w:t>
            </w:r>
          </w:p>
        </w:tc>
        <w:tc>
          <w:tcPr>
            <w:tcW w:w="5518"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依据教育部《中等职业医用化学基础课程标准课程标准》开设，并与学生专业能力发展和职业岗位需求密切结合。</w:t>
            </w:r>
          </w:p>
        </w:tc>
        <w:tc>
          <w:tcPr>
            <w:tcW w:w="1569"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bl>
    <w:p>
      <w:pPr>
        <w:autoSpaceDE w:val="0"/>
        <w:autoSpaceDN w:val="0"/>
        <w:spacing w:line="360" w:lineRule="auto"/>
        <w:ind w:firstLine="636" w:firstLineChars="196"/>
        <w:jc w:val="left"/>
        <w:rPr>
          <w:rFonts w:ascii="方正仿宋_GBK" w:hAnsi="方正仿宋_GBK" w:eastAsia="方正仿宋_GBK" w:cs="方正仿宋_GBK"/>
          <w:b/>
          <w:color w:val="000000"/>
          <w:sz w:val="32"/>
          <w:szCs w:val="32"/>
        </w:rPr>
      </w:pPr>
    </w:p>
    <w:p>
      <w:pPr>
        <w:autoSpaceDE w:val="0"/>
        <w:autoSpaceDN w:val="0"/>
        <w:spacing w:line="360" w:lineRule="auto"/>
        <w:ind w:firstLine="636" w:firstLineChars="196"/>
        <w:jc w:val="left"/>
        <w:rPr>
          <w:rFonts w:ascii="方正仿宋_GBK" w:hAnsi="方正仿宋_GBK" w:eastAsia="方正仿宋_GBK" w:cs="方正仿宋_GBK"/>
          <w:b/>
          <w:color w:val="000000"/>
          <w:sz w:val="32"/>
          <w:szCs w:val="32"/>
        </w:rPr>
      </w:pPr>
    </w:p>
    <w:p>
      <w:pPr>
        <w:autoSpaceDE w:val="0"/>
        <w:autoSpaceDN w:val="0"/>
        <w:spacing w:line="560" w:lineRule="exact"/>
        <w:ind w:firstLine="650" w:firstLineChars="200"/>
        <w:jc w:val="left"/>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（3）任意选修课</w:t>
      </w:r>
    </w:p>
    <w:p>
      <w:pPr>
        <w:autoSpaceDE w:val="0"/>
        <w:autoSpaceDN w:val="0"/>
        <w:spacing w:line="560" w:lineRule="exact"/>
        <w:ind w:firstLine="650" w:firstLineChars="200"/>
        <w:jc w:val="left"/>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任意选修课包括优秀传统文化、仁道文化等3门课程 ，以专题讲座的形式开展，不计入课程总学时。</w:t>
      </w:r>
    </w:p>
    <w:tbl>
      <w:tblPr>
        <w:tblStyle w:val="6"/>
        <w:tblW w:w="9214" w:type="dxa"/>
        <w:tblInd w:w="108" w:type="dxa"/>
        <w:tblLayout w:type="fixed"/>
        <w:tblCellMar>
          <w:top w:w="0" w:type="dxa"/>
          <w:left w:w="108" w:type="dxa"/>
          <w:bottom w:w="0" w:type="dxa"/>
          <w:right w:w="108" w:type="dxa"/>
        </w:tblCellMar>
      </w:tblPr>
      <w:tblGrid>
        <w:gridCol w:w="864"/>
        <w:gridCol w:w="1546"/>
        <w:gridCol w:w="5387"/>
        <w:gridCol w:w="1417"/>
      </w:tblGrid>
      <w:tr>
        <w:tblPrEx>
          <w:tblCellMar>
            <w:top w:w="0" w:type="dxa"/>
            <w:left w:w="108" w:type="dxa"/>
            <w:bottom w:w="0" w:type="dxa"/>
            <w:right w:w="108" w:type="dxa"/>
          </w:tblCellMar>
        </w:tblPrEx>
        <w:trPr>
          <w:trHeight w:val="458" w:hRule="atLeast"/>
        </w:trPr>
        <w:tc>
          <w:tcPr>
            <w:tcW w:w="86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序号</w:t>
            </w:r>
          </w:p>
        </w:tc>
        <w:tc>
          <w:tcPr>
            <w:tcW w:w="154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课程名称</w:t>
            </w:r>
          </w:p>
        </w:tc>
        <w:tc>
          <w:tcPr>
            <w:tcW w:w="5387"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教学内容和要求</w:t>
            </w:r>
          </w:p>
        </w:tc>
        <w:tc>
          <w:tcPr>
            <w:tcW w:w="1417"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参考课时</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w:t>
            </w:r>
          </w:p>
        </w:tc>
        <w:tc>
          <w:tcPr>
            <w:tcW w:w="154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优秀传统</w:t>
            </w:r>
          </w:p>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文化</w:t>
            </w:r>
          </w:p>
        </w:tc>
        <w:tc>
          <w:tcPr>
            <w:tcW w:w="5387"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中华诗词、汉字汉语、书画、民族乐器、戏曲、传统节日、中华武术、传统服饰、传统手工艺，感知中华传统文化的博大精深，增强学生民族文化认同感和民族自豪感，树立正确的传统文化观念，促进学生形成正确的世界观、人生观、价值观。</w:t>
            </w:r>
          </w:p>
        </w:tc>
        <w:tc>
          <w:tcPr>
            <w:tcW w:w="1417"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2</w:t>
            </w:r>
          </w:p>
        </w:tc>
        <w:tc>
          <w:tcPr>
            <w:tcW w:w="154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仁道文化</w:t>
            </w:r>
          </w:p>
        </w:tc>
        <w:tc>
          <w:tcPr>
            <w:tcW w:w="5387" w:type="dxa"/>
            <w:tcBorders>
              <w:top w:val="single" w:color="auto" w:sz="4" w:space="0"/>
              <w:left w:val="nil"/>
              <w:bottom w:val="single" w:color="auto" w:sz="4" w:space="0"/>
              <w:right w:val="single" w:color="auto" w:sz="4" w:space="0"/>
            </w:tcBorders>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黄帝内经·素问》中强调：“医术，乃仁术也”。医护服务对象是人，医护服务的内容即是“仁”的集中表现。强化护生“仁”的意识，使之成为自身的内在职业素养，并使之外化为将来尊重、关爱、贴心服务于患者的护理行为，是护理专业学生仁道文化的核心内容。</w:t>
            </w:r>
          </w:p>
        </w:tc>
        <w:tc>
          <w:tcPr>
            <w:tcW w:w="1417"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18</w:t>
            </w:r>
          </w:p>
        </w:tc>
      </w:tr>
      <w:tr>
        <w:tblPrEx>
          <w:tblCellMar>
            <w:top w:w="0" w:type="dxa"/>
            <w:left w:w="108" w:type="dxa"/>
            <w:bottom w:w="0" w:type="dxa"/>
            <w:right w:w="108" w:type="dxa"/>
          </w:tblCellMar>
        </w:tblPrEx>
        <w:tc>
          <w:tcPr>
            <w:tcW w:w="864"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36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bidi="zh-CN"/>
              </w:rPr>
              <w:t>3</w:t>
            </w:r>
          </w:p>
        </w:tc>
        <w:tc>
          <w:tcPr>
            <w:tcW w:w="1546" w:type="dxa"/>
            <w:tcBorders>
              <w:top w:val="single" w:color="auto" w:sz="4" w:space="0"/>
              <w:left w:val="nil"/>
              <w:bottom w:val="single" w:color="auto" w:sz="4" w:space="0"/>
              <w:right w:val="single" w:color="auto" w:sz="4" w:space="0"/>
            </w:tcBorders>
            <w:noWrap w:val="0"/>
            <w:vAlign w:val="center"/>
          </w:tcPr>
          <w:p>
            <w:pPr>
              <w:autoSpaceDE w:val="0"/>
              <w:autoSpaceDN w:val="0"/>
              <w:spacing w:before="53" w:line="360" w:lineRule="exact"/>
              <w:ind w:left="65" w:right="22"/>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105"/>
                <w:kern w:val="0"/>
                <w:sz w:val="24"/>
                <w:szCs w:val="24"/>
                <w:lang w:val="zh-CN" w:bidi="zh-CN"/>
              </w:rPr>
              <w:t>安全教育</w:t>
            </w:r>
          </w:p>
        </w:tc>
        <w:tc>
          <w:tcPr>
            <w:tcW w:w="5387" w:type="dxa"/>
            <w:tcBorders>
              <w:top w:val="single" w:color="auto" w:sz="4" w:space="0"/>
              <w:left w:val="nil"/>
              <w:bottom w:val="single" w:color="auto" w:sz="4" w:space="0"/>
              <w:right w:val="single" w:color="auto" w:sz="4" w:space="0"/>
            </w:tcBorders>
            <w:noWrap w:val="0"/>
            <w:vAlign w:val="top"/>
          </w:tcPr>
          <w:p>
            <w:pPr>
              <w:adjustRightInd w:val="0"/>
              <w:snapToGrid w:val="0"/>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pacing w:val="-2"/>
                <w:kern w:val="0"/>
                <w:sz w:val="24"/>
                <w:szCs w:val="24"/>
              </w:rPr>
              <w:t>了解安全基本知识，掌握与安全问题相关的法律法规和校纪校规，帮助学生牢固树立“珍爱生命，安全第一，遵纪守法，和谐共处”的意识，具备自救自护的素养和能力。</w:t>
            </w:r>
          </w:p>
        </w:tc>
        <w:tc>
          <w:tcPr>
            <w:tcW w:w="1417" w:type="dxa"/>
            <w:tcBorders>
              <w:top w:val="single" w:color="auto" w:sz="4" w:space="0"/>
              <w:left w:val="nil"/>
              <w:bottom w:val="single" w:color="auto" w:sz="4" w:space="0"/>
              <w:right w:val="single" w:color="auto" w:sz="4" w:space="0"/>
            </w:tcBorders>
            <w:noWrap w:val="0"/>
            <w:vAlign w:val="center"/>
          </w:tcPr>
          <w:p>
            <w:pPr>
              <w:autoSpaceDE w:val="0"/>
              <w:autoSpaceDN w:val="0"/>
              <w:spacing w:line="36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val="zh-CN" w:bidi="zh-CN"/>
              </w:rPr>
              <w:t>18</w:t>
            </w:r>
          </w:p>
        </w:tc>
      </w:tr>
    </w:tbl>
    <w:p>
      <w:pPr>
        <w:spacing w:line="560" w:lineRule="exact"/>
        <w:ind w:firstLine="642" w:firstLineChars="200"/>
        <w:rPr>
          <w:rFonts w:ascii="方正仿宋_GBK" w:hAnsi="方正仿宋_GBK" w:eastAsia="方正仿宋_GBK" w:cs="方正仿宋_GBK"/>
          <w:b/>
          <w:color w:val="000000"/>
          <w:spacing w:val="-2"/>
          <w:kern w:val="0"/>
          <w:sz w:val="32"/>
          <w:szCs w:val="32"/>
        </w:rPr>
      </w:pPr>
    </w:p>
    <w:p>
      <w:pPr>
        <w:spacing w:line="560" w:lineRule="exact"/>
        <w:ind w:firstLine="642" w:firstLineChars="200"/>
        <w:rPr>
          <w:rFonts w:ascii="方正仿宋_GBK" w:hAnsi="方正仿宋_GBK" w:eastAsia="方正仿宋_GBK" w:cs="方正仿宋_GBK"/>
          <w:b/>
          <w:color w:val="000000"/>
          <w:spacing w:val="-2"/>
          <w:kern w:val="0"/>
          <w:sz w:val="32"/>
          <w:szCs w:val="32"/>
        </w:rPr>
      </w:pPr>
      <w:r>
        <w:rPr>
          <w:rFonts w:hint="eastAsia" w:ascii="方正仿宋_GBK" w:hAnsi="方正仿宋_GBK" w:eastAsia="方正仿宋_GBK" w:cs="方正仿宋_GBK"/>
          <w:b/>
          <w:color w:val="000000"/>
          <w:spacing w:val="-2"/>
          <w:kern w:val="0"/>
          <w:sz w:val="32"/>
          <w:szCs w:val="32"/>
        </w:rPr>
        <w:t>2. 专业技能课程</w:t>
      </w:r>
    </w:p>
    <w:p>
      <w:pPr>
        <w:spacing w:line="560" w:lineRule="exact"/>
        <w:ind w:firstLine="650" w:firstLineChars="200"/>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（1）专业核心课程</w:t>
      </w:r>
    </w:p>
    <w:tbl>
      <w:tblPr>
        <w:tblStyle w:val="6"/>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序号</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课程名称</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教学内容和要求</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before="1" w:line="360" w:lineRule="exact"/>
              <w:ind w:left="9"/>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76"/>
                <w:kern w:val="0"/>
                <w:sz w:val="24"/>
                <w:szCs w:val="24"/>
                <w:lang w:val="zh-CN" w:eastAsia="en-US" w:bidi="zh-CN"/>
              </w:rPr>
              <w:t>1</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spacing w:before="142" w:line="360" w:lineRule="exact"/>
              <w:ind w:left="65" w:right="42"/>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105"/>
                <w:kern w:val="0"/>
                <w:sz w:val="24"/>
                <w:szCs w:val="24"/>
                <w:lang w:val="zh-CN" w:eastAsia="en-US" w:bidi="zh-CN"/>
              </w:rPr>
              <w:t>解剖学基础</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人体胚胎发育概况，熟悉正常人体的组织结构，掌握正常人体的组成、各系统主要器官的形态和位置，能识别各系统主要器官的形态、结构，能规范地进行基本实践操作，会运用解剖学基本知识分析、解释临床问题。</w:t>
            </w:r>
          </w:p>
        </w:tc>
        <w:tc>
          <w:tcPr>
            <w:tcW w:w="1276" w:type="dxa"/>
            <w:tcBorders>
              <w:top w:val="single" w:color="auto" w:sz="4" w:space="0"/>
              <w:left w:val="nil"/>
              <w:bottom w:val="single" w:color="auto" w:sz="4" w:space="0"/>
              <w:right w:val="single" w:color="auto" w:sz="4" w:space="0"/>
            </w:tcBorders>
            <w:noWrap w:val="0"/>
            <w:vAlign w:val="center"/>
          </w:tcPr>
          <w:p>
            <w:pPr>
              <w:autoSpaceDE w:val="0"/>
              <w:autoSpaceDN w:val="0"/>
              <w:spacing w:before="1" w:line="360" w:lineRule="exact"/>
              <w:ind w:left="121" w:right="96"/>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w w:val="85"/>
                <w:kern w:val="0"/>
                <w:sz w:val="24"/>
                <w:szCs w:val="24"/>
                <w:lang w:val="zh-CN" w:bidi="zh-CN"/>
              </w:rPr>
              <w:t>90</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before="127" w:line="360" w:lineRule="exact"/>
              <w:ind w:left="9"/>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76"/>
                <w:kern w:val="0"/>
                <w:sz w:val="24"/>
                <w:szCs w:val="24"/>
                <w:lang w:val="zh-CN" w:eastAsia="en-US" w:bidi="zh-CN"/>
              </w:rPr>
              <w:t>2</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spacing w:before="34" w:line="360" w:lineRule="exact"/>
              <w:ind w:left="65" w:right="-15"/>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spacing w:val="30"/>
                <w:kern w:val="0"/>
                <w:sz w:val="24"/>
                <w:szCs w:val="24"/>
                <w:lang w:val="zh-CN" w:bidi="zh-CN"/>
              </w:rPr>
              <w:t>生理学基</w:t>
            </w:r>
            <w:r>
              <w:rPr>
                <w:rFonts w:hint="eastAsia" w:ascii="方正仿宋_GBK" w:hAnsi="方正仿宋_GBK" w:eastAsia="方正仿宋_GBK" w:cs="方正仿宋_GBK"/>
                <w:color w:val="000000"/>
                <w:spacing w:val="15"/>
                <w:kern w:val="0"/>
                <w:sz w:val="24"/>
                <w:szCs w:val="24"/>
                <w:lang w:val="zh-CN" w:bidi="zh-CN"/>
              </w:rPr>
              <w:t>础</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了解生理学的研究内容和任务，掌握人体及其各器官系统的主要生理功能，能运用生理学知识解释各种生理现象，为学习护理专业知识奠定理论基础</w:t>
            </w:r>
          </w:p>
        </w:tc>
        <w:tc>
          <w:tcPr>
            <w:tcW w:w="1276" w:type="dxa"/>
            <w:tcBorders>
              <w:top w:val="single" w:color="auto" w:sz="4" w:space="0"/>
              <w:left w:val="nil"/>
              <w:bottom w:val="single" w:color="auto" w:sz="4" w:space="0"/>
              <w:right w:val="single" w:color="auto" w:sz="4" w:space="0"/>
            </w:tcBorders>
            <w:noWrap w:val="0"/>
            <w:vAlign w:val="center"/>
          </w:tcPr>
          <w:p>
            <w:pPr>
              <w:autoSpaceDE w:val="0"/>
              <w:autoSpaceDN w:val="0"/>
              <w:spacing w:before="127" w:line="360" w:lineRule="exact"/>
              <w:ind w:left="121" w:right="96"/>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w w:val="85"/>
                <w:kern w:val="0"/>
                <w:sz w:val="24"/>
                <w:szCs w:val="24"/>
                <w:lang w:val="zh-CN" w:bidi="zh-CN"/>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360" w:lineRule="exact"/>
              <w:ind w:left="9"/>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76"/>
                <w:kern w:val="0"/>
                <w:sz w:val="24"/>
                <w:szCs w:val="24"/>
                <w:lang w:val="zh-CN" w:eastAsia="en-US" w:bidi="zh-CN"/>
              </w:rPr>
              <w:t>3</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spacing w:before="1" w:line="360" w:lineRule="exact"/>
              <w:ind w:left="65" w:right="42"/>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105"/>
                <w:kern w:val="0"/>
                <w:sz w:val="24"/>
                <w:szCs w:val="24"/>
                <w:lang w:val="zh-CN" w:eastAsia="en-US" w:bidi="zh-CN"/>
              </w:rPr>
              <w:t>药物应用护理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掌握临床常用药物的作用、用途，药物不良反应的基本知识，能观察药物疗效和不良反应，能对常见疾病非处方药物进行用药指导和药物咨询，具有对常用药物制剂进行外观检查、查阅药物相互作用、检索配伍禁忌与准确换算药物剂量的能力，初步具备药物应用过程的护理技能。</w:t>
            </w:r>
          </w:p>
        </w:tc>
        <w:tc>
          <w:tcPr>
            <w:tcW w:w="1276" w:type="dxa"/>
            <w:tcBorders>
              <w:top w:val="single" w:color="auto" w:sz="4" w:space="0"/>
              <w:left w:val="nil"/>
              <w:bottom w:val="single" w:color="auto" w:sz="4" w:space="0"/>
              <w:right w:val="single" w:color="auto" w:sz="4" w:space="0"/>
            </w:tcBorders>
            <w:noWrap w:val="0"/>
            <w:vAlign w:val="center"/>
          </w:tcPr>
          <w:p>
            <w:pPr>
              <w:autoSpaceDE w:val="0"/>
              <w:autoSpaceDN w:val="0"/>
              <w:spacing w:before="12" w:line="360" w:lineRule="exact"/>
              <w:jc w:val="center"/>
              <w:rPr>
                <w:rFonts w:ascii="方正仿宋_GBK" w:hAnsi="方正仿宋_GBK" w:eastAsia="方正仿宋_GBK" w:cs="方正仿宋_GBK"/>
                <w:color w:val="000000"/>
                <w:kern w:val="0"/>
                <w:sz w:val="24"/>
                <w:szCs w:val="24"/>
                <w:lang w:val="zh-CN" w:bidi="zh-CN"/>
              </w:rPr>
            </w:pPr>
          </w:p>
          <w:p>
            <w:pPr>
              <w:autoSpaceDE w:val="0"/>
              <w:autoSpaceDN w:val="0"/>
              <w:spacing w:line="360" w:lineRule="exact"/>
              <w:ind w:left="121" w:right="96"/>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85"/>
                <w:kern w:val="0"/>
                <w:sz w:val="24"/>
                <w:szCs w:val="24"/>
                <w:lang w:val="zh-CN" w:eastAsia="en-US" w:bidi="zh-CN"/>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76"/>
                <w:sz w:val="24"/>
                <w:szCs w:val="24"/>
              </w:rPr>
              <w:t>4</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sz w:val="24"/>
                <w:szCs w:val="24"/>
              </w:rPr>
              <w:t>护理学基础</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熟悉护理的基本概念，初步掌握护理的基本理论，确立以护理对象为中心的护理理念，能应用护理程序指导实践，掌握基础护理技术操作方法，能规范、熟练地进行各项基础护理技术操作，能正确书写护理医疗文件，能初步分析和解决临床常见的护理问题。</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85"/>
                <w:sz w:val="24"/>
                <w:szCs w:val="24"/>
                <w:lang w:eastAsia="en-US"/>
              </w:rPr>
              <w:t>144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76"/>
                <w:sz w:val="24"/>
                <w:szCs w:val="24"/>
              </w:rPr>
              <w:t>5</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105"/>
                <w:sz w:val="24"/>
                <w:szCs w:val="24"/>
                <w:lang w:eastAsia="en-US"/>
              </w:rPr>
              <w:t>健康评估</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心电图的基本知识，了解常用影像学检查的应用指征及检查前后的护理，掌握身体状况评估的方法、内容、结果判断及临床意义，掌握常用实验室检查的正常参考值及异常结果的临床意义，能正确进行系统全面的身体状况评估，能熟练进行各种实验标本的采集，能熟练进行心电图操作并识别正常心电图，能综合分析评估对象的生理、心理、社会资料并找出护理问题，能正确书写护理病历</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85"/>
                <w:sz w:val="24"/>
                <w:szCs w:val="24"/>
                <w:lang w:eastAsia="en-US"/>
              </w:rPr>
              <w:t>54</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w w:val="76"/>
                <w:sz w:val="24"/>
                <w:szCs w:val="24"/>
              </w:rPr>
              <w:t>6</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spacing w:val="-19"/>
                <w:w w:val="105"/>
                <w:sz w:val="24"/>
                <w:szCs w:val="24"/>
                <w:lang w:eastAsia="en-US"/>
              </w:rPr>
              <w:t>内科护</w:t>
            </w:r>
            <w:r>
              <w:rPr>
                <w:rFonts w:hint="eastAsia" w:ascii="方正仿宋_GBK" w:hAnsi="方正仿宋_GBK" w:eastAsia="方正仿宋_GBK" w:cs="方正仿宋_GBK"/>
                <w:color w:val="000000"/>
                <w:w w:val="105"/>
                <w:sz w:val="24"/>
                <w:szCs w:val="24"/>
                <w:lang w:eastAsia="en-US"/>
              </w:rPr>
              <w:t>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内科常见疾病的概念，熟悉内科常见病患者的护理问题，掌握内科常见病的护理评估及护理措施，具有对内科常见病患者的病情变化、心理变化和治疗反应进行观察和初步分析及处理的能力，能正确书写内科护理记录，能配合医师对内科急危重症患者进行抢救，能配合医师实施内科常用诊疗技术操作，能运用内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85"/>
                <w:sz w:val="24"/>
                <w:szCs w:val="24"/>
                <w:lang w:eastAsia="en-US"/>
              </w:rPr>
              <w:t>126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7</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105"/>
                <w:sz w:val="24"/>
                <w:szCs w:val="24"/>
                <w:lang w:eastAsia="en-US"/>
              </w:rPr>
              <w:t>外科护理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外科有关疾病的概念，熟悉手术室基本工作内容，熟悉外科常见病的护理评估、护理措施，掌握外科常见急危重症的救护原则和方法，能配合医师对外科急危重症患者进行抢救，具有初步管理手术室和配合常见手术的能力，能运用外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w w:val="85"/>
                <w:sz w:val="24"/>
                <w:szCs w:val="24"/>
              </w:rPr>
              <w:t>108</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8</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105"/>
                <w:sz w:val="24"/>
                <w:szCs w:val="24"/>
                <w:lang w:eastAsia="en-US"/>
              </w:rPr>
              <w:t>妇产科护理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熟悉妇产科常见病的护理评估、护理问题，掌握妇产科护理的基本理论、基本知识，掌握妇产科常见病的护理措施，能配合医师对妇产科常见急危重症患者实施抢救，能配合医师正确地进行妇产科主要护理技术操作，能运用妇产科疾病预防保健知识和人际沟通技巧向个体、家庭、社区提供保健服务，开展健康教育。</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85"/>
                <w:sz w:val="24"/>
                <w:szCs w:val="24"/>
                <w:lang w:eastAsia="en-US"/>
              </w:rPr>
              <w:t>72</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9</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spacing w:val="-19"/>
                <w:w w:val="105"/>
                <w:sz w:val="24"/>
                <w:szCs w:val="24"/>
                <w:lang w:eastAsia="en-US"/>
              </w:rPr>
              <w:t>儿 科护</w:t>
            </w:r>
            <w:r>
              <w:rPr>
                <w:rFonts w:hint="eastAsia" w:ascii="方正仿宋_GBK" w:hAnsi="方正仿宋_GBK" w:eastAsia="方正仿宋_GBK" w:cs="方正仿宋_GBK"/>
                <w:color w:val="000000"/>
                <w:w w:val="105"/>
                <w:sz w:val="24"/>
                <w:szCs w:val="24"/>
                <w:lang w:eastAsia="en-US"/>
              </w:rPr>
              <w:t>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儿科常见疾病的概念，掌握小儿生长发育规律、营养与喂养、计划免疫等知识，掌握儿科常见疾病的护理评估、护理问题和护理措施，能配合医师进行儿科常用护理技术操作，能运用儿科疾病预防保健知识和人际沟通技巧向个体、家庭、社区提供儿童保健服务，开展健康教育。</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85"/>
                <w:sz w:val="24"/>
                <w:szCs w:val="24"/>
                <w:lang w:eastAsia="en-US"/>
              </w:rPr>
              <w:t>72</w:t>
            </w:r>
          </w:p>
        </w:tc>
      </w:tr>
    </w:tbl>
    <w:p>
      <w:pPr>
        <w:spacing w:line="560" w:lineRule="exact"/>
        <w:ind w:firstLine="650" w:firstLineChars="200"/>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（2）专业（技能）方向课</w:t>
      </w:r>
    </w:p>
    <w:tbl>
      <w:tblPr>
        <w:tblStyle w:val="6"/>
        <w:tblW w:w="9214" w:type="dxa"/>
        <w:tblInd w:w="108" w:type="dxa"/>
        <w:tblLayout w:type="fixed"/>
        <w:tblCellMar>
          <w:top w:w="0" w:type="dxa"/>
          <w:left w:w="108" w:type="dxa"/>
          <w:bottom w:w="0" w:type="dxa"/>
          <w:right w:w="108" w:type="dxa"/>
        </w:tblCellMar>
      </w:tblPr>
      <w:tblGrid>
        <w:gridCol w:w="851"/>
        <w:gridCol w:w="1843"/>
        <w:gridCol w:w="5244"/>
        <w:gridCol w:w="1276"/>
      </w:tblGrid>
      <w:tr>
        <w:trPr>
          <w:trHeight w:val="565" w:hRule="atLeast"/>
        </w:trPr>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序号</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课程名称</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教学内容和要求</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sz w:val="24"/>
                <w:szCs w:val="24"/>
                <w:lang w:eastAsia="en-US"/>
              </w:rPr>
              <w:t>1</w:t>
            </w:r>
          </w:p>
        </w:tc>
        <w:tc>
          <w:tcPr>
            <w:tcW w:w="1843"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w w:val="105"/>
                <w:sz w:val="24"/>
                <w:szCs w:val="24"/>
                <w:lang w:eastAsia="en-US"/>
              </w:rPr>
              <w:t>急救护理技</w:t>
            </w:r>
            <w:r>
              <w:rPr>
                <w:rFonts w:hint="eastAsia" w:ascii="方正仿宋_GBK" w:hAnsi="方正仿宋_GBK" w:eastAsia="方正仿宋_GBK" w:cs="方正仿宋_GBK"/>
                <w:color w:val="000000"/>
                <w:w w:val="104"/>
                <w:sz w:val="24"/>
                <w:szCs w:val="24"/>
                <w:lang w:eastAsia="en-US"/>
              </w:rPr>
              <w:t>术</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jc w:val="left"/>
              <w:rPr>
                <w:rFonts w:ascii="方正仿宋_GBK" w:hAnsi="方正仿宋_GBK" w:eastAsia="方正仿宋_GBK" w:cs="方正仿宋_GBK"/>
                <w:color w:val="000000"/>
                <w:spacing w:val="-2"/>
                <w:kern w:val="0"/>
                <w:sz w:val="24"/>
                <w:szCs w:val="24"/>
              </w:rPr>
            </w:pPr>
            <w:r>
              <w:rPr>
                <w:rFonts w:hint="eastAsia" w:ascii="方正仿宋_GBK" w:hAnsi="方正仿宋_GBK" w:eastAsia="方正仿宋_GBK" w:cs="方正仿宋_GBK"/>
                <w:color w:val="000000"/>
                <w:spacing w:val="-2"/>
                <w:kern w:val="0"/>
                <w:sz w:val="24"/>
                <w:szCs w:val="24"/>
              </w:rPr>
              <w:t>了解急救医疗服务体系，熟悉院外急救的概念、任务和管理，掌握院外急救及护理，掌握医院急诊科管理，掌握常见急危重症患者的病情观察、救治原则及护理，能正确实施常用急救护理技术。</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36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bidi="zh-CN"/>
              </w:rPr>
              <w:t>2</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spacing w:line="360" w:lineRule="exact"/>
              <w:ind w:left="64"/>
              <w:jc w:val="center"/>
              <w:rPr>
                <w:rFonts w:ascii="方正仿宋_GBK" w:hAnsi="方正仿宋_GBK" w:eastAsia="方正仿宋_GBK" w:cs="方正仿宋_GBK"/>
                <w:color w:val="000000"/>
                <w:kern w:val="0"/>
                <w:sz w:val="24"/>
                <w:szCs w:val="24"/>
                <w:lang w:val="zh-CN" w:eastAsia="en-US" w:bidi="zh-CN"/>
              </w:rPr>
            </w:pPr>
            <w:r>
              <w:rPr>
                <w:rFonts w:hint="eastAsia" w:ascii="方正仿宋_GBK" w:hAnsi="方正仿宋_GBK" w:eastAsia="方正仿宋_GBK" w:cs="方正仿宋_GBK"/>
                <w:color w:val="000000"/>
                <w:w w:val="105"/>
                <w:kern w:val="0"/>
                <w:sz w:val="24"/>
                <w:szCs w:val="24"/>
                <w:lang w:val="zh-CN" w:eastAsia="en-US" w:bidi="zh-CN"/>
              </w:rPr>
              <w:t>社区护理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color w:val="000000"/>
                <w:spacing w:val="-2"/>
                <w:kern w:val="0"/>
                <w:sz w:val="24"/>
                <w:szCs w:val="24"/>
              </w:rPr>
            </w:pPr>
            <w:r>
              <w:rPr>
                <w:rFonts w:hint="eastAsia" w:ascii="方正仿宋_GBK" w:hAnsi="方正仿宋_GBK" w:eastAsia="方正仿宋_GBK" w:cs="方正仿宋_GBK"/>
                <w:color w:val="000000"/>
                <w:spacing w:val="-2"/>
                <w:kern w:val="0"/>
                <w:sz w:val="24"/>
                <w:szCs w:val="24"/>
              </w:rPr>
              <w:t>熟悉社区卫生服务的内容和工作方法，熟悉社区环境中影响健康的因素和疾病三级预防策略，掌握不同人群社区保健护理工作要点，掌握慢性病和传染病患者的社区管理和护理要点。</w:t>
            </w:r>
          </w:p>
        </w:tc>
        <w:tc>
          <w:tcPr>
            <w:tcW w:w="1276" w:type="dxa"/>
            <w:tcBorders>
              <w:top w:val="single" w:color="auto" w:sz="4" w:space="0"/>
              <w:left w:val="nil"/>
              <w:bottom w:val="single" w:color="auto" w:sz="4" w:space="0"/>
              <w:right w:val="single" w:color="auto" w:sz="4" w:space="0"/>
            </w:tcBorders>
            <w:noWrap w:val="0"/>
            <w:vAlign w:val="center"/>
          </w:tcPr>
          <w:p>
            <w:pPr>
              <w:autoSpaceDE w:val="0"/>
              <w:autoSpaceDN w:val="0"/>
              <w:spacing w:line="36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val="zh-CN" w:bidi="zh-CN"/>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36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bidi="zh-CN"/>
              </w:rPr>
              <w:t>1</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spacing w:line="360" w:lineRule="exact"/>
              <w:ind w:left="64"/>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spacing w:val="-2"/>
                <w:kern w:val="0"/>
                <w:sz w:val="24"/>
                <w:szCs w:val="24"/>
              </w:rPr>
              <w:t>老年护理</w:t>
            </w:r>
          </w:p>
        </w:tc>
        <w:tc>
          <w:tcPr>
            <w:tcW w:w="5244"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color w:val="000000"/>
                <w:spacing w:val="-2"/>
                <w:kern w:val="0"/>
                <w:sz w:val="24"/>
                <w:szCs w:val="24"/>
              </w:rPr>
            </w:pPr>
            <w:r>
              <w:rPr>
                <w:rFonts w:hint="eastAsia" w:ascii="方正仿宋_GBK" w:hAnsi="方正仿宋_GBK" w:eastAsia="方正仿宋_GBK" w:cs="方正仿宋_GBK"/>
                <w:color w:val="000000"/>
                <w:spacing w:val="-2"/>
                <w:kern w:val="0"/>
                <w:sz w:val="24"/>
                <w:szCs w:val="24"/>
              </w:rPr>
              <w:t>掌握老年人健康评估的内容及方法，掌握老年人常见疾病、心理行为问题的健康照护与促进、特殊老年人的健康照护与促进，健康照护风险防范与应对。掌握居家、社区、养老机构老年人的健康照护与促进，掌握老年人解老年人社会参与和健康促进。</w:t>
            </w:r>
          </w:p>
        </w:tc>
        <w:tc>
          <w:tcPr>
            <w:tcW w:w="1276" w:type="dxa"/>
            <w:tcBorders>
              <w:top w:val="single" w:color="auto" w:sz="4" w:space="0"/>
              <w:left w:val="nil"/>
              <w:bottom w:val="single" w:color="auto" w:sz="4" w:space="0"/>
              <w:right w:val="single" w:color="auto" w:sz="4" w:space="0"/>
            </w:tcBorders>
            <w:noWrap w:val="0"/>
            <w:vAlign w:val="center"/>
          </w:tcPr>
          <w:p>
            <w:pPr>
              <w:autoSpaceDE w:val="0"/>
              <w:autoSpaceDN w:val="0"/>
              <w:spacing w:line="36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val="zh-CN" w:bidi="zh-CN"/>
              </w:rPr>
              <w:t>36</w:t>
            </w:r>
          </w:p>
        </w:tc>
      </w:tr>
    </w:tbl>
    <w:p>
      <w:pPr>
        <w:spacing w:line="560" w:lineRule="exact"/>
        <w:ind w:firstLine="650" w:firstLineChars="200"/>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（3）综合实践</w:t>
      </w:r>
    </w:p>
    <w:p>
      <w:pPr>
        <w:spacing w:line="560" w:lineRule="exact"/>
        <w:ind w:firstLine="650" w:firstLineChars="200"/>
        <w:rPr>
          <w:rFonts w:ascii="方正仿宋_GBK" w:eastAsia="方正仿宋_GBK"/>
          <w:color w:val="000000"/>
          <w:sz w:val="32"/>
        </w:rPr>
      </w:pPr>
      <w:r>
        <w:rPr>
          <w:rFonts w:hint="eastAsia" w:ascii="方正仿宋_GBK" w:eastAsia="方正仿宋_GBK"/>
          <w:color w:val="000000"/>
          <w:sz w:val="32"/>
        </w:rPr>
        <w:t>综合实践包括“识岗、跟岗、顶岗”三个阶段。依据《护士条例》（2020年国务院令第726号）在满足学生岗位实习8个月（32周）的前提下，安排学生岗位认知和岗位见习。</w:t>
      </w:r>
    </w:p>
    <w:p>
      <w:pPr>
        <w:spacing w:line="560" w:lineRule="exact"/>
        <w:ind w:firstLine="650" w:firstLineChars="200"/>
        <w:rPr>
          <w:rFonts w:ascii="方正仿宋_GBK" w:eastAsia="方正仿宋_GBK"/>
          <w:color w:val="000000"/>
          <w:sz w:val="32"/>
        </w:rPr>
      </w:pPr>
    </w:p>
    <w:tbl>
      <w:tblPr>
        <w:tblStyle w:val="6"/>
        <w:tblW w:w="92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140"/>
        <w:gridCol w:w="1072"/>
        <w:gridCol w:w="5186"/>
        <w:gridCol w:w="12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noWrap w:val="0"/>
            <w:vAlign w:val="center"/>
          </w:tcPr>
          <w:p>
            <w:pPr>
              <w:spacing w:line="360" w:lineRule="exact"/>
              <w:jc w:val="center"/>
              <w:rPr>
                <w:rFonts w:ascii="方正仿宋_GBK" w:hAnsi="仿宋" w:eastAsia="方正仿宋_GBK"/>
                <w:b/>
                <w:bCs/>
                <w:color w:val="000000"/>
                <w:sz w:val="24"/>
                <w:szCs w:val="24"/>
              </w:rPr>
            </w:pPr>
            <w:r>
              <w:rPr>
                <w:rFonts w:hint="eastAsia" w:ascii="方正仿宋_GBK" w:hAnsi="仿宋" w:eastAsia="方正仿宋_GBK"/>
                <w:b/>
                <w:bCs/>
                <w:color w:val="000000"/>
                <w:sz w:val="24"/>
                <w:szCs w:val="24"/>
              </w:rPr>
              <w:t>序号</w:t>
            </w:r>
          </w:p>
        </w:tc>
        <w:tc>
          <w:tcPr>
            <w:tcW w:w="2212" w:type="dxa"/>
            <w:gridSpan w:val="2"/>
            <w:noWrap w:val="0"/>
            <w:vAlign w:val="center"/>
          </w:tcPr>
          <w:p>
            <w:pPr>
              <w:spacing w:line="360" w:lineRule="exact"/>
              <w:jc w:val="center"/>
              <w:rPr>
                <w:rFonts w:ascii="方正仿宋_GBK" w:hAnsi="仿宋" w:eastAsia="方正仿宋_GBK"/>
                <w:b/>
                <w:bCs/>
                <w:color w:val="000000"/>
                <w:sz w:val="24"/>
                <w:szCs w:val="24"/>
              </w:rPr>
            </w:pPr>
            <w:r>
              <w:rPr>
                <w:rFonts w:hint="eastAsia" w:ascii="方正仿宋_GBK" w:hAnsi="仿宋" w:eastAsia="方正仿宋_GBK"/>
                <w:b/>
                <w:bCs/>
                <w:color w:val="000000"/>
                <w:sz w:val="24"/>
                <w:szCs w:val="24"/>
              </w:rPr>
              <w:t>课程名称</w:t>
            </w:r>
          </w:p>
        </w:tc>
        <w:tc>
          <w:tcPr>
            <w:tcW w:w="5186" w:type="dxa"/>
            <w:noWrap w:val="0"/>
            <w:vAlign w:val="center"/>
          </w:tcPr>
          <w:p>
            <w:pPr>
              <w:spacing w:line="360" w:lineRule="exact"/>
              <w:jc w:val="center"/>
              <w:rPr>
                <w:rFonts w:ascii="方正仿宋_GBK" w:hAnsi="仿宋" w:eastAsia="方正仿宋_GBK"/>
                <w:b/>
                <w:bCs/>
                <w:color w:val="000000"/>
                <w:sz w:val="24"/>
                <w:szCs w:val="24"/>
              </w:rPr>
            </w:pPr>
            <w:r>
              <w:rPr>
                <w:rFonts w:hint="eastAsia" w:ascii="方正仿宋_GBK" w:hAnsi="仿宋" w:eastAsia="方正仿宋_GBK"/>
                <w:b/>
                <w:bCs/>
                <w:color w:val="000000"/>
                <w:sz w:val="24"/>
                <w:szCs w:val="24"/>
              </w:rPr>
              <w:t>教学内容及要求</w:t>
            </w:r>
          </w:p>
        </w:tc>
        <w:tc>
          <w:tcPr>
            <w:tcW w:w="1225" w:type="dxa"/>
            <w:noWrap w:val="0"/>
            <w:vAlign w:val="center"/>
          </w:tcPr>
          <w:p>
            <w:pPr>
              <w:spacing w:line="360" w:lineRule="exact"/>
              <w:jc w:val="center"/>
              <w:rPr>
                <w:rFonts w:ascii="方正仿宋_GBK" w:hAnsi="仿宋" w:eastAsia="方正仿宋_GBK"/>
                <w:b/>
                <w:bCs/>
                <w:color w:val="000000"/>
                <w:sz w:val="24"/>
                <w:szCs w:val="24"/>
              </w:rPr>
            </w:pPr>
            <w:r>
              <w:rPr>
                <w:rFonts w:hint="eastAsia" w:ascii="方正仿宋_GBK" w:hAnsi="仿宋" w:eastAsia="方正仿宋_GBK"/>
                <w:b/>
                <w:bCs/>
                <w:color w:val="000000"/>
                <w:sz w:val="24"/>
                <w:szCs w:val="24"/>
              </w:rPr>
              <w:t>参考学时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675"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1</w:t>
            </w:r>
          </w:p>
        </w:tc>
        <w:tc>
          <w:tcPr>
            <w:tcW w:w="2212" w:type="dxa"/>
            <w:gridSpan w:val="2"/>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岗位认知</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第二学期安排一周到医院熟悉医院环境和工作制度，到老年机构、妇幼机构、社区参观学习，巩固其专业思想，培养职业认同。</w:t>
            </w:r>
          </w:p>
        </w:tc>
        <w:tc>
          <w:tcPr>
            <w:tcW w:w="1225"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675"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2</w:t>
            </w:r>
          </w:p>
        </w:tc>
        <w:tc>
          <w:tcPr>
            <w:tcW w:w="2212" w:type="dxa"/>
            <w:gridSpan w:val="2"/>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岗位见习</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第二学期安排一周到医院岗位见习，了解内科护士、外科护士、妇产科护士、儿科护士、急诊科护士、社区护士、老年照护等工作任务和工作要求，进一步熟悉基础护理的各项操作技术要点和流程。</w:t>
            </w:r>
          </w:p>
        </w:tc>
        <w:tc>
          <w:tcPr>
            <w:tcW w:w="1225"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3</w:t>
            </w:r>
          </w:p>
        </w:tc>
        <w:tc>
          <w:tcPr>
            <w:tcW w:w="1140" w:type="dxa"/>
            <w:vMerge w:val="restart"/>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顶岗实习</w:t>
            </w:r>
          </w:p>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（32周）</w:t>
            </w:r>
          </w:p>
        </w:tc>
        <w:tc>
          <w:tcPr>
            <w:tcW w:w="1072"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内科</w:t>
            </w:r>
          </w:p>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（8周）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熟悉内科及传染科的各项基础护理操作及专科护理操作，能熟练进行各项护理操作</w:t>
            </w:r>
          </w:p>
        </w:tc>
        <w:tc>
          <w:tcPr>
            <w:tcW w:w="1225" w:type="dxa"/>
            <w:vMerge w:val="restart"/>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960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noWrap w:val="0"/>
            <w:vAlign w:val="center"/>
          </w:tcPr>
          <w:p>
            <w:pPr>
              <w:spacing w:line="360" w:lineRule="exact"/>
              <w:rPr>
                <w:rFonts w:ascii="方正仿宋_GBK" w:hAnsi="仿宋" w:eastAsia="方正仿宋_GBK"/>
                <w:color w:val="000000"/>
                <w:sz w:val="24"/>
                <w:szCs w:val="24"/>
              </w:rPr>
            </w:pPr>
          </w:p>
        </w:tc>
        <w:tc>
          <w:tcPr>
            <w:tcW w:w="1140" w:type="dxa"/>
            <w:vMerge w:val="continue"/>
            <w:noWrap w:val="0"/>
            <w:vAlign w:val="center"/>
          </w:tcPr>
          <w:p>
            <w:pPr>
              <w:spacing w:line="360" w:lineRule="exact"/>
              <w:rPr>
                <w:rFonts w:ascii="方正仿宋_GBK" w:hAnsi="仿宋" w:eastAsia="方正仿宋_GBK"/>
                <w:color w:val="000000"/>
                <w:sz w:val="24"/>
                <w:szCs w:val="24"/>
              </w:rPr>
            </w:pPr>
          </w:p>
        </w:tc>
        <w:tc>
          <w:tcPr>
            <w:tcW w:w="1072"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外科</w:t>
            </w:r>
          </w:p>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（8周）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掌握手术（含手术室）前后病人的护理、基础护理操作 和外科常见的专科护理操作，熟悉外科常见病的护理及突发危、重症 的抢救配合。</w:t>
            </w:r>
            <w:r>
              <w:rPr>
                <w:rFonts w:ascii="方正仿宋_GBK" w:hAnsi="仿宋" w:eastAsia="方正仿宋_GBK"/>
                <w:color w:val="000000"/>
                <w:sz w:val="24"/>
                <w:szCs w:val="24"/>
              </w:rPr>
              <w:t xml:space="preserve"> </w:t>
            </w:r>
          </w:p>
        </w:tc>
        <w:tc>
          <w:tcPr>
            <w:tcW w:w="1225" w:type="dxa"/>
            <w:vMerge w:val="continue"/>
            <w:noWrap w:val="0"/>
            <w:vAlign w:val="center"/>
          </w:tcPr>
          <w:p>
            <w:pPr>
              <w:spacing w:line="360" w:lineRule="exact"/>
              <w:rPr>
                <w:rFonts w:ascii="方正仿宋_GBK" w:hAnsi="仿宋"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noWrap w:val="0"/>
            <w:vAlign w:val="center"/>
          </w:tcPr>
          <w:p>
            <w:pPr>
              <w:spacing w:line="360" w:lineRule="exact"/>
              <w:rPr>
                <w:rFonts w:ascii="方正仿宋_GBK" w:hAnsi="仿宋" w:eastAsia="方正仿宋_GBK"/>
                <w:color w:val="000000"/>
                <w:sz w:val="24"/>
                <w:szCs w:val="24"/>
              </w:rPr>
            </w:pPr>
          </w:p>
        </w:tc>
        <w:tc>
          <w:tcPr>
            <w:tcW w:w="1140" w:type="dxa"/>
            <w:vMerge w:val="continue"/>
            <w:noWrap w:val="0"/>
            <w:vAlign w:val="center"/>
          </w:tcPr>
          <w:p>
            <w:pPr>
              <w:spacing w:line="360" w:lineRule="exact"/>
              <w:rPr>
                <w:rFonts w:ascii="方正仿宋_GBK" w:hAnsi="仿宋" w:eastAsia="方正仿宋_GBK"/>
                <w:color w:val="000000"/>
                <w:sz w:val="24"/>
                <w:szCs w:val="24"/>
              </w:rPr>
            </w:pPr>
          </w:p>
        </w:tc>
        <w:tc>
          <w:tcPr>
            <w:tcW w:w="1072"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妇产科</w:t>
            </w:r>
          </w:p>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（4周）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掌握基础护理操作和妇产科常见的专科 护理操作，熟悉妇产科常见病及其护理，了解妇产科护理新进展和新技术的应用。</w:t>
            </w:r>
          </w:p>
        </w:tc>
        <w:tc>
          <w:tcPr>
            <w:tcW w:w="1225" w:type="dxa"/>
            <w:vMerge w:val="continue"/>
            <w:noWrap w:val="0"/>
            <w:vAlign w:val="center"/>
          </w:tcPr>
          <w:p>
            <w:pPr>
              <w:spacing w:line="360" w:lineRule="exact"/>
              <w:rPr>
                <w:rFonts w:ascii="方正仿宋_GBK" w:hAnsi="仿宋"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noWrap w:val="0"/>
            <w:vAlign w:val="center"/>
          </w:tcPr>
          <w:p>
            <w:pPr>
              <w:spacing w:line="360" w:lineRule="exact"/>
              <w:rPr>
                <w:rFonts w:ascii="方正仿宋_GBK" w:hAnsi="仿宋" w:eastAsia="方正仿宋_GBK"/>
                <w:color w:val="000000"/>
                <w:sz w:val="24"/>
                <w:szCs w:val="24"/>
              </w:rPr>
            </w:pPr>
          </w:p>
        </w:tc>
        <w:tc>
          <w:tcPr>
            <w:tcW w:w="1140" w:type="dxa"/>
            <w:vMerge w:val="continue"/>
            <w:noWrap w:val="0"/>
            <w:vAlign w:val="center"/>
          </w:tcPr>
          <w:p>
            <w:pPr>
              <w:spacing w:line="360" w:lineRule="exact"/>
              <w:rPr>
                <w:rFonts w:ascii="方正仿宋_GBK" w:hAnsi="仿宋" w:eastAsia="方正仿宋_GBK"/>
                <w:color w:val="000000"/>
                <w:sz w:val="24"/>
                <w:szCs w:val="24"/>
              </w:rPr>
            </w:pPr>
          </w:p>
        </w:tc>
        <w:tc>
          <w:tcPr>
            <w:tcW w:w="1072"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儿科</w:t>
            </w:r>
          </w:p>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（4周）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掌握基础护理操作和儿科常见的专科护理操作，熟悉儿科常见病及其护理，了解儿科护理新进展和新技术的应用。</w:t>
            </w:r>
          </w:p>
        </w:tc>
        <w:tc>
          <w:tcPr>
            <w:tcW w:w="1225" w:type="dxa"/>
            <w:vMerge w:val="continue"/>
            <w:noWrap w:val="0"/>
            <w:vAlign w:val="center"/>
          </w:tcPr>
          <w:p>
            <w:pPr>
              <w:spacing w:line="360" w:lineRule="exact"/>
              <w:rPr>
                <w:rFonts w:ascii="方正仿宋_GBK" w:hAnsi="仿宋"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noWrap w:val="0"/>
            <w:vAlign w:val="center"/>
          </w:tcPr>
          <w:p>
            <w:pPr>
              <w:spacing w:line="360" w:lineRule="exact"/>
              <w:rPr>
                <w:rFonts w:ascii="方正仿宋_GBK" w:hAnsi="仿宋" w:eastAsia="方正仿宋_GBK"/>
                <w:color w:val="000000"/>
                <w:sz w:val="24"/>
                <w:szCs w:val="24"/>
              </w:rPr>
            </w:pPr>
          </w:p>
        </w:tc>
        <w:tc>
          <w:tcPr>
            <w:tcW w:w="1140" w:type="dxa"/>
            <w:vMerge w:val="continue"/>
            <w:noWrap w:val="0"/>
            <w:vAlign w:val="center"/>
          </w:tcPr>
          <w:p>
            <w:pPr>
              <w:spacing w:line="360" w:lineRule="exact"/>
              <w:rPr>
                <w:rFonts w:ascii="方正仿宋_GBK" w:hAnsi="仿宋" w:eastAsia="方正仿宋_GBK"/>
                <w:color w:val="000000"/>
                <w:sz w:val="24"/>
                <w:szCs w:val="24"/>
              </w:rPr>
            </w:pPr>
          </w:p>
        </w:tc>
        <w:tc>
          <w:tcPr>
            <w:tcW w:w="1072"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手术室（2周）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 xml:space="preserve">熟悉手术室环境和手术室工作特点，掌握手术室无菌技术操作，熟悉常用手术器械，了解手术护士工作特点和工作内容。 </w:t>
            </w:r>
          </w:p>
        </w:tc>
        <w:tc>
          <w:tcPr>
            <w:tcW w:w="1225" w:type="dxa"/>
            <w:vMerge w:val="continue"/>
            <w:noWrap w:val="0"/>
            <w:vAlign w:val="center"/>
          </w:tcPr>
          <w:p>
            <w:pPr>
              <w:spacing w:line="360" w:lineRule="exact"/>
              <w:rPr>
                <w:rFonts w:ascii="方正仿宋_GBK" w:hAnsi="仿宋"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jc w:val="center"/>
        </w:trPr>
        <w:tc>
          <w:tcPr>
            <w:tcW w:w="675" w:type="dxa"/>
            <w:vMerge w:val="continue"/>
            <w:noWrap w:val="0"/>
            <w:vAlign w:val="center"/>
          </w:tcPr>
          <w:p>
            <w:pPr>
              <w:spacing w:line="360" w:lineRule="exact"/>
              <w:rPr>
                <w:rFonts w:ascii="方正仿宋_GBK" w:hAnsi="仿宋" w:eastAsia="方正仿宋_GBK"/>
                <w:color w:val="000000"/>
                <w:sz w:val="24"/>
                <w:szCs w:val="24"/>
              </w:rPr>
            </w:pPr>
          </w:p>
        </w:tc>
        <w:tc>
          <w:tcPr>
            <w:tcW w:w="1140" w:type="dxa"/>
            <w:vMerge w:val="continue"/>
            <w:noWrap w:val="0"/>
            <w:vAlign w:val="center"/>
          </w:tcPr>
          <w:p>
            <w:pPr>
              <w:spacing w:line="360" w:lineRule="exact"/>
              <w:rPr>
                <w:rFonts w:ascii="方正仿宋_GBK" w:hAnsi="仿宋" w:eastAsia="方正仿宋_GBK"/>
                <w:color w:val="000000"/>
                <w:sz w:val="24"/>
                <w:szCs w:val="24"/>
              </w:rPr>
            </w:pPr>
          </w:p>
        </w:tc>
        <w:tc>
          <w:tcPr>
            <w:tcW w:w="1072" w:type="dxa"/>
            <w:noWrap w:val="0"/>
            <w:vAlign w:val="center"/>
          </w:tcPr>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急诊室</w:t>
            </w:r>
          </w:p>
          <w:p>
            <w:pPr>
              <w:spacing w:line="360" w:lineRule="exact"/>
              <w:jc w:val="center"/>
              <w:rPr>
                <w:rFonts w:ascii="方正仿宋_GBK" w:hAnsi="仿宋" w:eastAsia="方正仿宋_GBK"/>
                <w:color w:val="000000"/>
                <w:sz w:val="24"/>
                <w:szCs w:val="24"/>
              </w:rPr>
            </w:pPr>
            <w:r>
              <w:rPr>
                <w:rFonts w:hint="eastAsia" w:ascii="方正仿宋_GBK" w:hAnsi="仿宋" w:eastAsia="方正仿宋_GBK"/>
                <w:color w:val="000000"/>
                <w:sz w:val="24"/>
                <w:szCs w:val="24"/>
              </w:rPr>
              <w:t>（4周）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掌握急救科常用的急救护理措施、心肺复苏技术和急救工作流程，熟悉护士与医生配合的工作流程。</w:t>
            </w:r>
          </w:p>
        </w:tc>
        <w:tc>
          <w:tcPr>
            <w:tcW w:w="1225" w:type="dxa"/>
            <w:vMerge w:val="continue"/>
            <w:noWrap w:val="0"/>
            <w:vAlign w:val="center"/>
          </w:tcPr>
          <w:p>
            <w:pPr>
              <w:spacing w:line="360" w:lineRule="exact"/>
              <w:rPr>
                <w:rFonts w:ascii="方正仿宋_GBK" w:hAnsi="仿宋" w:eastAsia="方正仿宋_GBK"/>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noWrap w:val="0"/>
            <w:vAlign w:val="center"/>
          </w:tcPr>
          <w:p>
            <w:pPr>
              <w:spacing w:line="360" w:lineRule="exact"/>
              <w:rPr>
                <w:rFonts w:ascii="方正仿宋_GBK" w:hAnsi="仿宋" w:eastAsia="方正仿宋_GBK"/>
                <w:color w:val="000000"/>
                <w:sz w:val="24"/>
                <w:szCs w:val="24"/>
              </w:rPr>
            </w:pPr>
          </w:p>
        </w:tc>
        <w:tc>
          <w:tcPr>
            <w:tcW w:w="1140" w:type="dxa"/>
            <w:vMerge w:val="continue"/>
            <w:noWrap w:val="0"/>
            <w:vAlign w:val="center"/>
          </w:tcPr>
          <w:p>
            <w:pPr>
              <w:spacing w:line="360" w:lineRule="exact"/>
              <w:rPr>
                <w:rFonts w:ascii="方正仿宋_GBK" w:hAnsi="仿宋" w:eastAsia="方正仿宋_GBK"/>
                <w:color w:val="000000"/>
                <w:sz w:val="24"/>
                <w:szCs w:val="24"/>
              </w:rPr>
            </w:pPr>
          </w:p>
        </w:tc>
        <w:tc>
          <w:tcPr>
            <w:tcW w:w="1072"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定向实习：包括社区护理方向、老年护理方向（2周）</w:t>
            </w:r>
          </w:p>
        </w:tc>
        <w:tc>
          <w:tcPr>
            <w:tcW w:w="5186" w:type="dxa"/>
            <w:noWrap w:val="0"/>
            <w:vAlign w:val="center"/>
          </w:tcPr>
          <w:p>
            <w:pPr>
              <w:spacing w:line="360" w:lineRule="exact"/>
              <w:rPr>
                <w:rFonts w:ascii="方正仿宋_GBK" w:hAnsi="仿宋" w:eastAsia="方正仿宋_GBK"/>
                <w:color w:val="000000"/>
                <w:sz w:val="24"/>
                <w:szCs w:val="24"/>
              </w:rPr>
            </w:pPr>
            <w:r>
              <w:rPr>
                <w:rFonts w:hint="eastAsia" w:ascii="方正仿宋_GBK" w:hAnsi="仿宋" w:eastAsia="方正仿宋_GBK"/>
                <w:color w:val="000000"/>
                <w:sz w:val="24"/>
                <w:szCs w:val="24"/>
              </w:rPr>
              <w:t>到相应方向的对应科室定向实习，社区卫生服务中心、老年护理病房、老年照护机构等，熟悉相应护理操作及技能。</w:t>
            </w:r>
          </w:p>
        </w:tc>
        <w:tc>
          <w:tcPr>
            <w:tcW w:w="1225" w:type="dxa"/>
            <w:vMerge w:val="continue"/>
            <w:noWrap w:val="0"/>
            <w:vAlign w:val="center"/>
          </w:tcPr>
          <w:p>
            <w:pPr>
              <w:spacing w:line="360" w:lineRule="exact"/>
              <w:rPr>
                <w:rFonts w:ascii="方正仿宋_GBK" w:hAnsi="仿宋" w:eastAsia="方正仿宋_GBK"/>
                <w:color w:val="000000"/>
                <w:sz w:val="24"/>
                <w:szCs w:val="24"/>
              </w:rPr>
            </w:pPr>
          </w:p>
        </w:tc>
      </w:tr>
    </w:tbl>
    <w:p>
      <w:pPr>
        <w:autoSpaceDE w:val="0"/>
        <w:autoSpaceDN w:val="0"/>
        <w:spacing w:line="360" w:lineRule="auto"/>
        <w:ind w:firstLine="479" w:firstLineChars="196"/>
        <w:jc w:val="left"/>
        <w:rPr>
          <w:rFonts w:ascii="宋体" w:hAnsi="宋体" w:cs="WVHDDF + FZLTHJW--GB1-0"/>
          <w:b/>
          <w:color w:val="000000"/>
          <w:sz w:val="24"/>
          <w:szCs w:val="24"/>
        </w:rPr>
      </w:pPr>
    </w:p>
    <w:p>
      <w:pPr>
        <w:spacing w:line="560" w:lineRule="exact"/>
        <w:ind w:firstLine="650" w:firstLineChars="200"/>
        <w:rPr>
          <w:rFonts w:ascii="方正仿宋_GBK" w:hAnsi="方正仿宋_GBK" w:eastAsia="方正仿宋_GBK" w:cs="方正仿宋_GBK"/>
          <w:b/>
          <w:color w:val="000000"/>
          <w:sz w:val="32"/>
          <w:szCs w:val="32"/>
        </w:rPr>
      </w:pPr>
      <w:r>
        <w:rPr>
          <w:rFonts w:hint="eastAsia" w:ascii="方正仿宋_GBK" w:hAnsi="方正仿宋_GBK" w:eastAsia="方正仿宋_GBK" w:cs="方正仿宋_GBK"/>
          <w:b/>
          <w:color w:val="000000"/>
          <w:sz w:val="32"/>
          <w:szCs w:val="32"/>
        </w:rPr>
        <w:t>（4）专业选修课</w:t>
      </w:r>
    </w:p>
    <w:p>
      <w:pPr>
        <w:spacing w:line="560" w:lineRule="exact"/>
        <w:ind w:firstLine="650" w:firstLineChars="200"/>
        <w:rPr>
          <w:rFonts w:ascii="方正仿宋_GBK" w:eastAsia="方正仿宋_GBK"/>
          <w:color w:val="000000"/>
          <w:sz w:val="32"/>
          <w:szCs w:val="32"/>
        </w:rPr>
      </w:pPr>
      <w:r>
        <w:rPr>
          <w:rFonts w:hint="eastAsia" w:ascii="方正仿宋_GBK" w:hAnsi="仿宋" w:eastAsia="方正仿宋_GBK" w:cs="方正仿宋_GBK"/>
          <w:bCs/>
          <w:color w:val="000000"/>
          <w:sz w:val="32"/>
          <w:szCs w:val="32"/>
        </w:rPr>
        <w:t>依据学生专业能力发展和职业岗位需求，</w:t>
      </w:r>
      <w:r>
        <w:rPr>
          <w:rFonts w:hint="eastAsia" w:ascii="方正仿宋_GBK" w:eastAsia="方正仿宋_GBK"/>
          <w:color w:val="000000"/>
          <w:sz w:val="32"/>
          <w:szCs w:val="32"/>
        </w:rPr>
        <w:t>对接国家职业教育 1+X 职业技能等级证书考证、技能大赛以及</w:t>
      </w:r>
      <w:r>
        <w:rPr>
          <w:rFonts w:hint="eastAsia" w:ascii="方正仿宋_GBK" w:hAnsi="仿宋" w:eastAsia="方正仿宋_GBK" w:cs="方正仿宋_GBK"/>
          <w:bCs/>
          <w:color w:val="000000"/>
          <w:sz w:val="32"/>
          <w:szCs w:val="32"/>
        </w:rPr>
        <w:t>高职分类考试要求</w:t>
      </w:r>
      <w:r>
        <w:rPr>
          <w:rFonts w:hint="eastAsia" w:ascii="方正仿宋_GBK" w:eastAsia="方正仿宋_GBK"/>
          <w:color w:val="000000"/>
          <w:sz w:val="32"/>
          <w:szCs w:val="32"/>
        </w:rPr>
        <w:t>，设置了</w:t>
      </w:r>
      <w:r>
        <w:rPr>
          <w:rFonts w:hint="eastAsia" w:ascii="方正仿宋_GBK" w:hAnsi="方正仿宋_GBK" w:eastAsia="方正仿宋_GBK" w:cs="方正仿宋_GBK"/>
          <w:color w:val="000000"/>
          <w:sz w:val="32"/>
          <w:szCs w:val="32"/>
        </w:rPr>
        <w:t>病理学基础、</w:t>
      </w:r>
      <w:r>
        <w:rPr>
          <w:rFonts w:hint="eastAsia" w:ascii="方正仿宋_GBK" w:eastAsia="方正仿宋_GBK"/>
          <w:color w:val="000000"/>
          <w:sz w:val="32"/>
          <w:szCs w:val="32"/>
        </w:rPr>
        <w:t>病原生物与免疫学基础等8门课程，学生需完成6门课程的选修。</w:t>
      </w:r>
    </w:p>
    <w:tbl>
      <w:tblPr>
        <w:tblStyle w:val="6"/>
        <w:tblW w:w="9214" w:type="dxa"/>
        <w:tblInd w:w="108" w:type="dxa"/>
        <w:tblLayout w:type="fixed"/>
        <w:tblCellMar>
          <w:top w:w="0" w:type="dxa"/>
          <w:left w:w="108" w:type="dxa"/>
          <w:bottom w:w="0" w:type="dxa"/>
          <w:right w:w="108" w:type="dxa"/>
        </w:tblCellMar>
      </w:tblPr>
      <w:tblGrid>
        <w:gridCol w:w="851"/>
        <w:gridCol w:w="1843"/>
        <w:gridCol w:w="5244"/>
        <w:gridCol w:w="1276"/>
      </w:tblGrid>
      <w:tr>
        <w:tblPrEx>
          <w:tblCellMar>
            <w:top w:w="0" w:type="dxa"/>
            <w:left w:w="108" w:type="dxa"/>
            <w:bottom w:w="0" w:type="dxa"/>
            <w:right w:w="108" w:type="dxa"/>
          </w:tblCellMar>
        </w:tblPrEx>
        <w:trPr>
          <w:trHeight w:val="565" w:hRule="atLeast"/>
        </w:trPr>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序号</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课程名称</w:t>
            </w:r>
          </w:p>
        </w:tc>
        <w:tc>
          <w:tcPr>
            <w:tcW w:w="5244" w:type="dxa"/>
            <w:tcBorders>
              <w:top w:val="single" w:color="auto" w:sz="4" w:space="0"/>
              <w:left w:val="nil"/>
              <w:bottom w:val="single" w:color="auto" w:sz="4" w:space="0"/>
              <w:right w:val="single" w:color="auto" w:sz="4" w:space="0"/>
            </w:tcBorders>
            <w:noWrap w:val="0"/>
            <w:vAlign w:val="center"/>
          </w:tcPr>
          <w:p>
            <w:pPr>
              <w:spacing w:line="340" w:lineRule="exact"/>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教学内容和要求</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参考课时</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lang w:eastAsia="en-US"/>
              </w:rPr>
            </w:pPr>
            <w:r>
              <w:rPr>
                <w:rFonts w:hint="eastAsia" w:ascii="方正仿宋_GBK" w:hAnsi="方正仿宋_GBK" w:eastAsia="方正仿宋_GBK" w:cs="方正仿宋_GBK"/>
                <w:color w:val="000000"/>
                <w:sz w:val="24"/>
                <w:szCs w:val="24"/>
                <w:lang w:eastAsia="en-US"/>
              </w:rPr>
              <w:t>病理学基础</w:t>
            </w:r>
          </w:p>
        </w:tc>
        <w:tc>
          <w:tcPr>
            <w:tcW w:w="5244"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pacing w:line="340" w:lineRule="exact"/>
              <w:rPr>
                <w:rFonts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掌握病理学的基本知识、基本理论，并能运用本课程的理论知识理解和掌握后续课程内容，处理护理实践中所遇到的实际问题。</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2</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pacing w:line="340" w:lineRule="exact"/>
              <w:jc w:val="center"/>
              <w:rPr>
                <w:rFonts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病原生物与免疫学基础</w:t>
            </w:r>
          </w:p>
        </w:tc>
        <w:tc>
          <w:tcPr>
            <w:tcW w:w="5244"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pacing w:line="340" w:lineRule="exact"/>
              <w:jc w:val="left"/>
              <w:rPr>
                <w:rFonts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了解医学微生物、免疫学基础和人体寄生虫的基本理论和基本技能，为临床课程的学习奠定基础。</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spacing w:line="34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val="zh-CN" w:bidi="zh-CN"/>
              </w:rPr>
              <w:t>3</w:t>
            </w:r>
          </w:p>
        </w:tc>
        <w:tc>
          <w:tcPr>
            <w:tcW w:w="1843" w:type="dxa"/>
            <w:tcBorders>
              <w:top w:val="single" w:color="auto" w:sz="4" w:space="0"/>
              <w:left w:val="nil"/>
              <w:bottom w:val="single" w:color="auto" w:sz="4" w:space="0"/>
              <w:right w:val="single" w:color="auto" w:sz="4" w:space="0"/>
            </w:tcBorders>
            <w:noWrap w:val="0"/>
            <w:vAlign w:val="center"/>
          </w:tcPr>
          <w:p>
            <w:pPr>
              <w:autoSpaceDE w:val="0"/>
              <w:autoSpaceDN w:val="0"/>
              <w:spacing w:before="55" w:line="340" w:lineRule="exact"/>
              <w:ind w:left="65" w:right="42"/>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val="zh-CN" w:bidi="zh-CN"/>
              </w:rPr>
              <w:t>传染</w:t>
            </w:r>
            <w:r>
              <w:rPr>
                <w:rFonts w:hint="eastAsia" w:ascii="方正仿宋_GBK" w:hAnsi="方正仿宋_GBK" w:eastAsia="方正仿宋_GBK" w:cs="方正仿宋_GBK"/>
                <w:color w:val="000000"/>
                <w:kern w:val="0"/>
                <w:sz w:val="24"/>
                <w:szCs w:val="24"/>
                <w:lang w:bidi="zh-CN"/>
              </w:rPr>
              <w:t>病</w:t>
            </w:r>
            <w:r>
              <w:rPr>
                <w:rFonts w:hint="eastAsia" w:ascii="方正仿宋_GBK" w:hAnsi="方正仿宋_GBK" w:eastAsia="方正仿宋_GBK" w:cs="方正仿宋_GBK"/>
                <w:color w:val="000000"/>
                <w:kern w:val="0"/>
                <w:sz w:val="24"/>
                <w:szCs w:val="24"/>
                <w:lang w:val="zh-CN" w:bidi="zh-CN"/>
              </w:rPr>
              <w:t>护理</w:t>
            </w:r>
          </w:p>
        </w:tc>
        <w:tc>
          <w:tcPr>
            <w:tcW w:w="5244" w:type="dxa"/>
            <w:tcBorders>
              <w:top w:val="single" w:color="auto" w:sz="4" w:space="0"/>
              <w:left w:val="nil"/>
              <w:bottom w:val="single" w:color="auto" w:sz="4" w:space="0"/>
              <w:right w:val="single" w:color="auto" w:sz="4" w:space="0"/>
            </w:tcBorders>
            <w:noWrap w:val="0"/>
            <w:vAlign w:val="top"/>
          </w:tcPr>
          <w:p>
            <w:pPr>
              <w:adjustRightInd w:val="0"/>
              <w:snapToGrid w:val="0"/>
              <w:spacing w:line="34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了解常见传染病的流行特征、临床表现、发病机制、实验室检查、诊断和治疗要点。掌握传染病的评估要点、护理诊断、护理措施、健康教育及传染病护理的基本技能。培养高度责任心和同情心，关爱患者，积极配合传染病的防治工作。</w:t>
            </w:r>
          </w:p>
        </w:tc>
        <w:tc>
          <w:tcPr>
            <w:tcW w:w="1276" w:type="dxa"/>
            <w:tcBorders>
              <w:top w:val="single" w:color="auto" w:sz="4" w:space="0"/>
              <w:left w:val="nil"/>
              <w:bottom w:val="single" w:color="auto" w:sz="4" w:space="0"/>
              <w:right w:val="single" w:color="auto" w:sz="4" w:space="0"/>
            </w:tcBorders>
            <w:noWrap w:val="0"/>
            <w:vAlign w:val="center"/>
          </w:tcPr>
          <w:p>
            <w:pPr>
              <w:autoSpaceDE w:val="0"/>
              <w:autoSpaceDN w:val="0"/>
              <w:spacing w:line="340" w:lineRule="exact"/>
              <w:jc w:val="center"/>
              <w:rPr>
                <w:rFonts w:ascii="方正仿宋_GBK" w:hAnsi="方正仿宋_GBK" w:eastAsia="方正仿宋_GBK" w:cs="方正仿宋_GBK"/>
                <w:color w:val="000000"/>
                <w:kern w:val="0"/>
                <w:sz w:val="24"/>
                <w:szCs w:val="24"/>
                <w:lang w:val="zh-CN" w:bidi="zh-CN"/>
              </w:rPr>
            </w:pPr>
            <w:r>
              <w:rPr>
                <w:rFonts w:hint="eastAsia" w:ascii="方正仿宋_GBK" w:hAnsi="方正仿宋_GBK" w:eastAsia="方正仿宋_GBK" w:cs="方正仿宋_GBK"/>
                <w:color w:val="000000"/>
                <w:kern w:val="0"/>
                <w:sz w:val="24"/>
                <w:szCs w:val="24"/>
                <w:lang w:val="zh-CN" w:bidi="zh-CN"/>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4</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护理心理</w:t>
            </w:r>
          </w:p>
        </w:tc>
        <w:tc>
          <w:tcPr>
            <w:tcW w:w="5244" w:type="dxa"/>
            <w:tcBorders>
              <w:top w:val="single" w:color="auto" w:sz="4" w:space="0"/>
              <w:left w:val="nil"/>
              <w:bottom w:val="single" w:color="auto" w:sz="4" w:space="0"/>
              <w:right w:val="single" w:color="auto" w:sz="4" w:space="0"/>
            </w:tcBorders>
            <w:noWrap w:val="0"/>
            <w:vAlign w:val="center"/>
          </w:tcPr>
          <w:p>
            <w:pPr>
              <w:spacing w:line="34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掌握心理护理必需的基本知识和基本技能，培养学生从心理学和生物学两个角度认识健康和疾病，自觉遵循心理行为科学规律，关爱生命、关注健康</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5</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中医护理</w:t>
            </w:r>
          </w:p>
        </w:tc>
        <w:tc>
          <w:tcPr>
            <w:tcW w:w="5244" w:type="dxa"/>
            <w:tcBorders>
              <w:top w:val="single" w:color="auto" w:sz="4" w:space="0"/>
              <w:left w:val="nil"/>
              <w:bottom w:val="single" w:color="auto" w:sz="4" w:space="0"/>
              <w:right w:val="single" w:color="auto" w:sz="4" w:space="0"/>
            </w:tcBorders>
            <w:noWrap w:val="0"/>
            <w:vAlign w:val="center"/>
          </w:tcPr>
          <w:p>
            <w:pPr>
              <w:autoSpaceDE w:val="0"/>
              <w:autoSpaceDN w:val="0"/>
              <w:adjustRightInd w:val="0"/>
              <w:spacing w:line="340" w:lineRule="exact"/>
              <w:jc w:val="left"/>
              <w:rPr>
                <w:rFonts w:ascii="方正仿宋_GBK" w:hAnsi="方正仿宋_GBK" w:eastAsia="方正仿宋_GBK" w:cs="方正仿宋_GBK"/>
                <w:color w:val="000000"/>
                <w:kern w:val="0"/>
                <w:sz w:val="24"/>
                <w:szCs w:val="24"/>
              </w:rPr>
            </w:pPr>
            <w:r>
              <w:rPr>
                <w:rFonts w:hint="eastAsia" w:ascii="方正仿宋_GBK" w:hAnsi="方正仿宋_GBK" w:eastAsia="方正仿宋_GBK" w:cs="方正仿宋_GBK"/>
                <w:color w:val="000000"/>
                <w:kern w:val="0"/>
                <w:sz w:val="24"/>
                <w:szCs w:val="24"/>
              </w:rPr>
              <w:t xml:space="preserve">了解中医学理论体系的形成和发展，掌握中医护理整体观念和辨证施护，能将中医的精华内容应用于临床护理，为护理工作拓宽思路。 </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6</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对口升学护考培训课程</w:t>
            </w:r>
          </w:p>
        </w:tc>
        <w:tc>
          <w:tcPr>
            <w:tcW w:w="5244" w:type="dxa"/>
            <w:tcBorders>
              <w:top w:val="single" w:color="auto" w:sz="4" w:space="0"/>
              <w:left w:val="nil"/>
              <w:bottom w:val="single" w:color="auto" w:sz="4" w:space="0"/>
              <w:right w:val="single" w:color="auto" w:sz="4" w:space="0"/>
            </w:tcBorders>
            <w:noWrap w:val="0"/>
            <w:vAlign w:val="center"/>
          </w:tcPr>
          <w:p>
            <w:pPr>
              <w:spacing w:line="340" w:lineRule="exact"/>
              <w:jc w:val="left"/>
              <w:rPr>
                <w:rFonts w:ascii="方正仿宋_GBK" w:hAnsi="方正仿宋_GBK" w:eastAsia="方正仿宋_GBK" w:cs="方正仿宋_GBK"/>
                <w:color w:val="000000"/>
                <w:sz w:val="24"/>
                <w:szCs w:val="24"/>
              </w:rPr>
            </w:pPr>
            <w:r>
              <w:rPr>
                <w:rFonts w:hint="eastAsia" w:ascii="方正仿宋_GBK" w:hAnsi="仿宋" w:eastAsia="方正仿宋_GBK" w:cs="方正仿宋_GBK"/>
                <w:bCs/>
                <w:color w:val="000000"/>
                <w:sz w:val="24"/>
                <w:szCs w:val="24"/>
              </w:rPr>
              <w:t>依据重庆市教育考试院《中职毕业生参加高职分类考试招生专业综合理论测试护理护理类考试说明》《高职分类考试对口高职技能考试护理类考试说明》开设。</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7</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1+X老年照护技能等级证书考证课程</w:t>
            </w:r>
          </w:p>
        </w:tc>
        <w:tc>
          <w:tcPr>
            <w:tcW w:w="5244" w:type="dxa"/>
            <w:tcBorders>
              <w:top w:val="single" w:color="auto" w:sz="4" w:space="0"/>
              <w:left w:val="nil"/>
              <w:bottom w:val="single" w:color="auto" w:sz="4" w:space="0"/>
              <w:right w:val="single" w:color="auto" w:sz="4" w:space="0"/>
            </w:tcBorders>
            <w:noWrap w:val="0"/>
            <w:vAlign w:val="center"/>
          </w:tcPr>
          <w:p>
            <w:pPr>
              <w:spacing w:line="34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pacing w:val="-2"/>
                <w:kern w:val="0"/>
                <w:sz w:val="24"/>
                <w:szCs w:val="24"/>
              </w:rPr>
              <w:t>依据（初级）老年照护技能等级证书考证要求开设，掌握老年人安全防护、饮食照料、排泄护理、睡眠照料、清洁照料、转运照护、常见救护等基本知识和基本技能。</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r>
        <w:tblPrEx>
          <w:tblCellMar>
            <w:top w:w="0" w:type="dxa"/>
            <w:left w:w="108" w:type="dxa"/>
            <w:bottom w:w="0" w:type="dxa"/>
            <w:right w:w="108" w:type="dxa"/>
          </w:tblCellMar>
        </w:tblPrEx>
        <w:tc>
          <w:tcPr>
            <w:tcW w:w="851" w:type="dxa"/>
            <w:tcBorders>
              <w:top w:val="single" w:color="auto" w:sz="4" w:space="0"/>
              <w:left w:val="single" w:color="auto" w:sz="4" w:space="0"/>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8</w:t>
            </w:r>
          </w:p>
        </w:tc>
        <w:tc>
          <w:tcPr>
            <w:tcW w:w="1843"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1+X母婴护理技能等级证书考证课程</w:t>
            </w:r>
          </w:p>
        </w:tc>
        <w:tc>
          <w:tcPr>
            <w:tcW w:w="5244" w:type="dxa"/>
            <w:tcBorders>
              <w:top w:val="single" w:color="auto" w:sz="4" w:space="0"/>
              <w:left w:val="nil"/>
              <w:bottom w:val="single" w:color="auto" w:sz="4" w:space="0"/>
              <w:right w:val="single" w:color="auto" w:sz="4" w:space="0"/>
            </w:tcBorders>
            <w:noWrap w:val="0"/>
            <w:vAlign w:val="center"/>
          </w:tcPr>
          <w:p>
            <w:pPr>
              <w:spacing w:line="340" w:lineRule="exact"/>
              <w:jc w:val="lef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pacing w:val="-2"/>
                <w:kern w:val="0"/>
                <w:sz w:val="24"/>
                <w:szCs w:val="24"/>
              </w:rPr>
              <w:t>依据（初级）母婴护理技能等级证书考证要求开设，掌握孕期、分娩期、产褥期的孕产妇护理及婴儿护理基本知识和基本技能等。</w:t>
            </w:r>
          </w:p>
        </w:tc>
        <w:tc>
          <w:tcPr>
            <w:tcW w:w="1276" w:type="dxa"/>
            <w:tcBorders>
              <w:top w:val="single" w:color="auto" w:sz="4" w:space="0"/>
              <w:left w:val="nil"/>
              <w:bottom w:val="single" w:color="auto" w:sz="4" w:space="0"/>
              <w:right w:val="single" w:color="auto" w:sz="4" w:space="0"/>
            </w:tcBorders>
            <w:noWrap w:val="0"/>
            <w:vAlign w:val="center"/>
          </w:tcPr>
          <w:p>
            <w:pPr>
              <w:spacing w:line="340" w:lineRule="exact"/>
              <w:jc w:val="center"/>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36</w:t>
            </w:r>
          </w:p>
        </w:tc>
      </w:tr>
    </w:tbl>
    <w:p>
      <w:pPr>
        <w:keepNext/>
        <w:keepLines/>
        <w:spacing w:line="540" w:lineRule="exact"/>
        <w:ind w:firstLine="650" w:firstLineChars="200"/>
        <w:rPr>
          <w:rFonts w:ascii="方正仿宋_GBK" w:hAnsi="方正仿宋_GBK" w:eastAsia="方正仿宋_GBK" w:cs="方正仿宋_GBK"/>
          <w:bCs/>
          <w:color w:val="000000"/>
          <w:sz w:val="32"/>
          <w:szCs w:val="32"/>
        </w:rPr>
      </w:pPr>
      <w:bookmarkStart w:id="102" w:name="_Toc124436459"/>
      <w:bookmarkStart w:id="103" w:name="_Toc124370502"/>
      <w:bookmarkStart w:id="104" w:name="_Toc124405387"/>
      <w:bookmarkStart w:id="105" w:name="_Toc124436603"/>
      <w:bookmarkStart w:id="106" w:name="_Toc124436010"/>
      <w:bookmarkStart w:id="107" w:name="_Toc124436784"/>
      <w:bookmarkStart w:id="108" w:name="_Toc121436595"/>
      <w:bookmarkStart w:id="109" w:name="_Toc108031854"/>
      <w:r>
        <w:rPr>
          <w:rFonts w:hint="eastAsia" w:ascii="方正仿宋_GBK" w:hAnsi="方正仿宋_GBK" w:eastAsia="方正仿宋_GBK" w:cs="方正仿宋_GBK"/>
          <w:bCs/>
          <w:color w:val="000000"/>
          <w:sz w:val="32"/>
          <w:szCs w:val="32"/>
        </w:rPr>
        <w:t>说明：建立国、市、区、校四级护理技能大赛培训机制，建有完善的技能大赛理论培训标准和技能培训标准，融入了专业课程标准和日常教学内容。未单设课程，学生经过层层选拔进入比赛培训。</w:t>
      </w:r>
      <w:bookmarkEnd w:id="102"/>
      <w:bookmarkEnd w:id="103"/>
      <w:bookmarkEnd w:id="104"/>
      <w:bookmarkEnd w:id="105"/>
      <w:bookmarkEnd w:id="106"/>
      <w:bookmarkEnd w:id="107"/>
    </w:p>
    <w:p>
      <w:pPr>
        <w:keepNext/>
        <w:keepLines/>
        <w:spacing w:line="540" w:lineRule="exact"/>
        <w:ind w:firstLine="650" w:firstLineChars="200"/>
        <w:rPr>
          <w:rFonts w:ascii="方正黑体_GBK" w:hAnsi="方正黑体_GBK" w:eastAsia="方正黑体_GBK" w:cs="方正黑体_GBK"/>
          <w:color w:val="000000"/>
          <w:kern w:val="44"/>
          <w:sz w:val="32"/>
          <w:szCs w:val="32"/>
        </w:rPr>
      </w:pPr>
      <w:bookmarkStart w:id="110" w:name="_Toc124436604"/>
      <w:bookmarkStart w:id="111" w:name="_Toc124405388"/>
      <w:bookmarkStart w:id="112" w:name="_Toc124370503"/>
      <w:bookmarkStart w:id="113" w:name="_Toc124436460"/>
      <w:bookmarkStart w:id="114" w:name="_Toc124436785"/>
      <w:bookmarkStart w:id="115" w:name="_Toc124436011"/>
      <w:r>
        <w:rPr>
          <w:rFonts w:hint="eastAsia" w:ascii="方正黑体_GBK" w:hAnsi="方正黑体_GBK" w:eastAsia="方正黑体_GBK" w:cs="方正黑体_GBK"/>
          <w:color w:val="000000"/>
          <w:kern w:val="44"/>
          <w:sz w:val="32"/>
          <w:szCs w:val="32"/>
        </w:rPr>
        <w:t>七、教学进程总体安排</w:t>
      </w:r>
      <w:bookmarkEnd w:id="108"/>
      <w:bookmarkEnd w:id="109"/>
      <w:bookmarkEnd w:id="110"/>
      <w:bookmarkEnd w:id="111"/>
      <w:bookmarkEnd w:id="112"/>
      <w:bookmarkEnd w:id="113"/>
      <w:bookmarkEnd w:id="114"/>
      <w:bookmarkEnd w:id="115"/>
    </w:p>
    <w:p>
      <w:pPr>
        <w:spacing w:line="560" w:lineRule="exact"/>
        <w:ind w:firstLine="650" w:firstLineChars="200"/>
        <w:rPr>
          <w:rFonts w:ascii="方正楷体_GBK" w:hAnsi="方正楷体_GBK" w:eastAsia="方正楷体_GBK" w:cs="方正楷体_GBK"/>
          <w:color w:val="000000"/>
          <w:sz w:val="28"/>
          <w:szCs w:val="28"/>
        </w:rPr>
      </w:pPr>
      <w:r>
        <w:rPr>
          <w:rFonts w:hint="eastAsia" w:ascii="方正仿宋_GBK" w:hAnsi="方正仿宋_GBK" w:eastAsia="方正仿宋_GBK" w:cs="方正仿宋_GBK"/>
          <w:bCs/>
          <w:color w:val="000000"/>
          <w:sz w:val="32"/>
          <w:szCs w:val="32"/>
        </w:rPr>
        <w:t>每学年 52 周，其中教学42 周（含复习考试），累计假期 10 周，周学时 30学时。岗位实习 32 周，计960学时。3 年总学时</w:t>
      </w:r>
      <w:r>
        <w:rPr>
          <w:rFonts w:ascii="方正仿宋_GBK" w:eastAsia="方正仿宋_GBK"/>
          <w:color w:val="000000"/>
          <w:sz w:val="32"/>
          <w:szCs w:val="32"/>
        </w:rPr>
        <w:t>3</w:t>
      </w:r>
      <w:r>
        <w:rPr>
          <w:rFonts w:hint="eastAsia" w:ascii="方正仿宋_GBK" w:eastAsia="方正仿宋_GBK"/>
          <w:color w:val="000000"/>
          <w:sz w:val="32"/>
          <w:szCs w:val="32"/>
        </w:rPr>
        <w:t>252</w:t>
      </w:r>
      <w:r>
        <w:rPr>
          <w:rFonts w:hint="eastAsia" w:ascii="方正仿宋_GBK" w:hAnsi="方正仿宋_GBK" w:eastAsia="方正仿宋_GBK" w:cs="方正仿宋_GBK"/>
          <w:bCs/>
          <w:color w:val="000000"/>
          <w:sz w:val="32"/>
          <w:szCs w:val="32"/>
        </w:rPr>
        <w:t>学时，其中理论</w:t>
      </w:r>
      <w:r>
        <w:rPr>
          <w:rFonts w:ascii="方正仿宋_GBK" w:eastAsia="方正仿宋_GBK"/>
          <w:color w:val="000000"/>
          <w:sz w:val="32"/>
          <w:szCs w:val="32"/>
        </w:rPr>
        <w:t>15</w:t>
      </w:r>
      <w:r>
        <w:rPr>
          <w:rFonts w:hint="eastAsia" w:ascii="方正仿宋_GBK" w:eastAsia="方正仿宋_GBK"/>
          <w:color w:val="000000"/>
          <w:sz w:val="32"/>
          <w:szCs w:val="32"/>
        </w:rPr>
        <w:t>96</w:t>
      </w:r>
      <w:r>
        <w:rPr>
          <w:rFonts w:hint="eastAsia" w:ascii="方正仿宋_GBK" w:hAnsi="方正仿宋_GBK" w:eastAsia="方正仿宋_GBK" w:cs="方正仿宋_GBK"/>
          <w:bCs/>
          <w:color w:val="000000"/>
          <w:sz w:val="32"/>
          <w:szCs w:val="32"/>
        </w:rPr>
        <w:t>学时，实践</w:t>
      </w:r>
      <w:r>
        <w:rPr>
          <w:rFonts w:ascii="方正仿宋_GBK" w:eastAsia="方正仿宋_GBK"/>
          <w:color w:val="000000"/>
          <w:sz w:val="32"/>
          <w:szCs w:val="32"/>
        </w:rPr>
        <w:t>16</w:t>
      </w:r>
      <w:r>
        <w:rPr>
          <w:rFonts w:hint="eastAsia" w:ascii="方正仿宋_GBK" w:eastAsia="方正仿宋_GBK"/>
          <w:color w:val="000000"/>
          <w:sz w:val="32"/>
          <w:szCs w:val="32"/>
        </w:rPr>
        <w:t>56</w:t>
      </w:r>
      <w:r>
        <w:rPr>
          <w:rFonts w:hint="eastAsia" w:ascii="方正仿宋_GBK" w:hAnsi="方正仿宋_GBK" w:eastAsia="方正仿宋_GBK" w:cs="方正仿宋_GBK"/>
          <w:bCs/>
          <w:color w:val="000000"/>
          <w:sz w:val="32"/>
          <w:szCs w:val="32"/>
        </w:rPr>
        <w:t>学时，实践课超过总学时一半。公共基础课1080学时（含必修课和限定选修课），约占总学时的</w:t>
      </w:r>
      <w:r>
        <w:rPr>
          <w:rFonts w:hint="eastAsia" w:ascii="方正仿宋_GBK" w:eastAsia="方正仿宋_GBK"/>
          <w:color w:val="000000"/>
          <w:sz w:val="32"/>
          <w:szCs w:val="32"/>
        </w:rPr>
        <w:t>1/3</w:t>
      </w:r>
      <w:r>
        <w:rPr>
          <w:rFonts w:hint="eastAsia" w:ascii="方正仿宋_GBK" w:hAnsi="方正仿宋_GBK" w:eastAsia="方正仿宋_GBK" w:cs="方正仿宋_GBK"/>
          <w:bCs/>
          <w:color w:val="000000"/>
          <w:sz w:val="32"/>
          <w:szCs w:val="32"/>
        </w:rPr>
        <w:t>；</w:t>
      </w:r>
      <w:r>
        <w:rPr>
          <w:rFonts w:hint="eastAsia" w:ascii="方正仿宋_GBK" w:eastAsia="方正仿宋_GBK"/>
          <w:color w:val="000000"/>
          <w:sz w:val="32"/>
          <w:szCs w:val="32"/>
        </w:rPr>
        <w:t>专业技能课学时2172，约为总学时的 2/3。</w:t>
      </w:r>
      <w:r>
        <w:rPr>
          <w:rFonts w:ascii="方正仿宋_GBK" w:eastAsia="方正仿宋_GBK"/>
          <w:color w:val="000000"/>
          <w:sz w:val="32"/>
          <w:szCs w:val="32"/>
        </w:rPr>
        <w:tab/>
      </w:r>
      <w:bookmarkStart w:id="116" w:name="_Toc108031855"/>
      <w:r>
        <w:rPr>
          <w:rFonts w:hint="eastAsia" w:ascii="方正楷体_GBK" w:hAnsi="方正楷体_GBK" w:eastAsia="方正楷体_GBK" w:cs="方正楷体_GBK"/>
          <w:color w:val="000000"/>
          <w:sz w:val="32"/>
          <w:szCs w:val="32"/>
        </w:rPr>
        <w:t>（一）时间（周）分配表</w:t>
      </w:r>
      <w:bookmarkEnd w:id="116"/>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
        <w:gridCol w:w="690"/>
        <w:gridCol w:w="688"/>
        <w:gridCol w:w="688"/>
        <w:gridCol w:w="1216"/>
        <w:gridCol w:w="688"/>
        <w:gridCol w:w="616"/>
        <w:gridCol w:w="688"/>
        <w:gridCol w:w="820"/>
        <w:gridCol w:w="676"/>
        <w:gridCol w:w="688"/>
        <w:gridCol w:w="1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学期</w:t>
            </w:r>
          </w:p>
        </w:tc>
        <w:tc>
          <w:tcPr>
            <w:tcW w:w="69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教学</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周数</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岗位</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实习</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考试</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周</w:t>
            </w:r>
          </w:p>
        </w:tc>
        <w:tc>
          <w:tcPr>
            <w:tcW w:w="121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爱国主义入学教育军训</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岗位</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认知</w:t>
            </w:r>
          </w:p>
        </w:tc>
        <w:tc>
          <w:tcPr>
            <w:tcW w:w="61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岗位见习</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劳动</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教育</w:t>
            </w:r>
          </w:p>
        </w:tc>
        <w:tc>
          <w:tcPr>
            <w:tcW w:w="82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升学护考培训</w:t>
            </w:r>
          </w:p>
        </w:tc>
        <w:tc>
          <w:tcPr>
            <w:tcW w:w="67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岗前</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培训</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职业</w:t>
            </w:r>
          </w:p>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教育</w:t>
            </w: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总计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9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18</w:t>
            </w:r>
          </w:p>
        </w:tc>
        <w:tc>
          <w:tcPr>
            <w:tcW w:w="688"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21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w:t>
            </w:r>
          </w:p>
        </w:tc>
        <w:tc>
          <w:tcPr>
            <w:tcW w:w="688" w:type="dxa"/>
            <w:noWrap w:val="0"/>
            <w:vAlign w:val="top"/>
          </w:tcPr>
          <w:p>
            <w:pPr>
              <w:rPr>
                <w:rFonts w:ascii="方正仿宋_GBK" w:hAnsi="方正仿宋_GBK" w:eastAsia="方正仿宋_GBK" w:cs="方正仿宋_GBK"/>
                <w:b/>
                <w:bCs/>
                <w:color w:val="000000"/>
                <w:sz w:val="18"/>
                <w:szCs w:val="18"/>
              </w:rPr>
            </w:pPr>
          </w:p>
        </w:tc>
        <w:tc>
          <w:tcPr>
            <w:tcW w:w="6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820" w:type="dxa"/>
            <w:noWrap w:val="0"/>
            <w:vAlign w:val="top"/>
          </w:tcPr>
          <w:p>
            <w:pPr>
              <w:rPr>
                <w:rFonts w:ascii="方正仿宋_GBK" w:hAnsi="方正仿宋_GBK" w:eastAsia="方正仿宋_GBK" w:cs="方正仿宋_GBK"/>
                <w:b/>
                <w:bCs/>
                <w:color w:val="000000"/>
                <w:sz w:val="18"/>
                <w:szCs w:val="18"/>
              </w:rPr>
            </w:pPr>
          </w:p>
        </w:tc>
        <w:tc>
          <w:tcPr>
            <w:tcW w:w="67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w:t>
            </w:r>
          </w:p>
        </w:tc>
        <w:tc>
          <w:tcPr>
            <w:tcW w:w="69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18</w:t>
            </w:r>
          </w:p>
        </w:tc>
        <w:tc>
          <w:tcPr>
            <w:tcW w:w="688"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2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820" w:type="dxa"/>
            <w:noWrap w:val="0"/>
            <w:vAlign w:val="top"/>
          </w:tcPr>
          <w:p>
            <w:pPr>
              <w:rPr>
                <w:rFonts w:ascii="方正仿宋_GBK" w:hAnsi="方正仿宋_GBK" w:eastAsia="方正仿宋_GBK" w:cs="方正仿宋_GBK"/>
                <w:b/>
                <w:bCs/>
                <w:color w:val="000000"/>
                <w:sz w:val="18"/>
                <w:szCs w:val="18"/>
              </w:rPr>
            </w:pPr>
          </w:p>
        </w:tc>
        <w:tc>
          <w:tcPr>
            <w:tcW w:w="67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3</w:t>
            </w:r>
          </w:p>
        </w:tc>
        <w:tc>
          <w:tcPr>
            <w:tcW w:w="69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18</w:t>
            </w:r>
          </w:p>
        </w:tc>
        <w:tc>
          <w:tcPr>
            <w:tcW w:w="688"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2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61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820" w:type="dxa"/>
            <w:noWrap w:val="0"/>
            <w:vAlign w:val="top"/>
          </w:tcPr>
          <w:p>
            <w:pPr>
              <w:rPr>
                <w:rFonts w:ascii="方正仿宋_GBK" w:hAnsi="方正仿宋_GBK" w:eastAsia="方正仿宋_GBK" w:cs="方正仿宋_GBK"/>
                <w:b/>
                <w:bCs/>
                <w:color w:val="000000"/>
                <w:sz w:val="18"/>
                <w:szCs w:val="18"/>
              </w:rPr>
            </w:pPr>
          </w:p>
        </w:tc>
        <w:tc>
          <w:tcPr>
            <w:tcW w:w="67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4</w:t>
            </w:r>
          </w:p>
        </w:tc>
        <w:tc>
          <w:tcPr>
            <w:tcW w:w="69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18</w:t>
            </w:r>
          </w:p>
        </w:tc>
        <w:tc>
          <w:tcPr>
            <w:tcW w:w="688"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2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6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820" w:type="dxa"/>
            <w:noWrap w:val="0"/>
            <w:vAlign w:val="top"/>
          </w:tcPr>
          <w:p>
            <w:pPr>
              <w:rPr>
                <w:rFonts w:ascii="方正仿宋_GBK" w:hAnsi="方正仿宋_GBK" w:eastAsia="方正仿宋_GBK" w:cs="方正仿宋_GBK"/>
                <w:b/>
                <w:bCs/>
                <w:color w:val="000000"/>
                <w:sz w:val="18"/>
                <w:szCs w:val="18"/>
              </w:rPr>
            </w:pPr>
          </w:p>
        </w:tc>
        <w:tc>
          <w:tcPr>
            <w:tcW w:w="67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5-6</w:t>
            </w:r>
          </w:p>
        </w:tc>
        <w:tc>
          <w:tcPr>
            <w:tcW w:w="690"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32</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2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61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82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7</w:t>
            </w:r>
          </w:p>
        </w:tc>
        <w:tc>
          <w:tcPr>
            <w:tcW w:w="676" w:type="dxa"/>
            <w:noWrap w:val="0"/>
            <w:vAlign w:val="top"/>
          </w:tcPr>
          <w:p>
            <w:pPr>
              <w:rPr>
                <w:rFonts w:ascii="方正仿宋_GBK" w:hAnsi="方正仿宋_GBK" w:eastAsia="方正仿宋_GBK" w:cs="方正仿宋_GBK"/>
                <w:b/>
                <w:bCs/>
                <w:color w:val="000000"/>
                <w:sz w:val="18"/>
                <w:szCs w:val="18"/>
              </w:rPr>
            </w:pPr>
          </w:p>
        </w:tc>
        <w:tc>
          <w:tcPr>
            <w:tcW w:w="688" w:type="dxa"/>
            <w:noWrap w:val="0"/>
            <w:vAlign w:val="top"/>
          </w:tcPr>
          <w:p>
            <w:pPr>
              <w:rPr>
                <w:rFonts w:ascii="方正仿宋_GBK" w:hAnsi="方正仿宋_GBK" w:eastAsia="方正仿宋_GBK" w:cs="方正仿宋_GBK"/>
                <w:b/>
                <w:bCs/>
                <w:color w:val="000000"/>
                <w:sz w:val="18"/>
                <w:szCs w:val="18"/>
              </w:rPr>
            </w:pP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合计</w:t>
            </w:r>
          </w:p>
        </w:tc>
        <w:tc>
          <w:tcPr>
            <w:tcW w:w="69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72</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32</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6</w:t>
            </w:r>
          </w:p>
        </w:tc>
        <w:tc>
          <w:tcPr>
            <w:tcW w:w="121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1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2</w:t>
            </w:r>
          </w:p>
        </w:tc>
        <w:tc>
          <w:tcPr>
            <w:tcW w:w="820"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6</w:t>
            </w:r>
          </w:p>
        </w:tc>
        <w:tc>
          <w:tcPr>
            <w:tcW w:w="676"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688"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w:t>
            </w:r>
          </w:p>
        </w:tc>
        <w:tc>
          <w:tcPr>
            <w:tcW w:w="1165" w:type="dxa"/>
            <w:noWrap w:val="0"/>
            <w:vAlign w:val="top"/>
          </w:tcPr>
          <w:p>
            <w:pPr>
              <w:rPr>
                <w:rFonts w:ascii="方正仿宋_GBK" w:hAnsi="方正仿宋_GBK" w:eastAsia="方正仿宋_GBK" w:cs="方正仿宋_GBK"/>
                <w:b/>
                <w:bCs/>
                <w:color w:val="000000"/>
                <w:sz w:val="18"/>
                <w:szCs w:val="18"/>
              </w:rPr>
            </w:pPr>
            <w:r>
              <w:rPr>
                <w:rFonts w:hint="eastAsia" w:ascii="方正仿宋_GBK" w:hAnsi="方正仿宋_GBK" w:eastAsia="方正仿宋_GBK" w:cs="方正仿宋_GBK"/>
                <w:b/>
                <w:bCs/>
                <w:color w:val="000000"/>
                <w:sz w:val="18"/>
                <w:szCs w:val="18"/>
              </w:rPr>
              <w:t>124</w:t>
            </w:r>
          </w:p>
        </w:tc>
      </w:tr>
    </w:tbl>
    <w:p>
      <w:pPr>
        <w:tabs>
          <w:tab w:val="center" w:pos="4153"/>
        </w:tabs>
        <w:spacing w:line="360" w:lineRule="auto"/>
        <w:ind w:firstLine="482" w:firstLineChars="200"/>
        <w:jc w:val="left"/>
        <w:rPr>
          <w:rFonts w:ascii="宋体" w:hAnsi="宋体"/>
          <w:b/>
          <w:bCs/>
          <w:color w:val="000000"/>
          <w:spacing w:val="-2"/>
          <w:kern w:val="0"/>
          <w:sz w:val="24"/>
          <w:szCs w:val="24"/>
        </w:rPr>
      </w:pPr>
    </w:p>
    <w:p>
      <w:pPr>
        <w:tabs>
          <w:tab w:val="center" w:pos="4153"/>
        </w:tabs>
        <w:spacing w:line="360" w:lineRule="auto"/>
        <w:ind w:firstLine="482" w:firstLineChars="200"/>
        <w:jc w:val="left"/>
        <w:rPr>
          <w:rFonts w:ascii="宋体" w:hAnsi="宋体"/>
          <w:b/>
          <w:bCs/>
          <w:color w:val="000000"/>
          <w:spacing w:val="-2"/>
          <w:kern w:val="0"/>
          <w:sz w:val="24"/>
          <w:szCs w:val="24"/>
        </w:rPr>
      </w:pPr>
    </w:p>
    <w:p>
      <w:pPr>
        <w:tabs>
          <w:tab w:val="center" w:pos="4153"/>
        </w:tabs>
        <w:spacing w:line="360" w:lineRule="auto"/>
        <w:ind w:firstLine="482" w:firstLineChars="200"/>
        <w:jc w:val="left"/>
        <w:rPr>
          <w:rFonts w:ascii="宋体" w:hAnsi="宋体"/>
          <w:b/>
          <w:bCs/>
          <w:color w:val="000000"/>
          <w:spacing w:val="-2"/>
          <w:kern w:val="0"/>
          <w:sz w:val="24"/>
          <w:szCs w:val="24"/>
        </w:rPr>
      </w:pPr>
    </w:p>
    <w:p>
      <w:pPr>
        <w:tabs>
          <w:tab w:val="center" w:pos="4153"/>
        </w:tabs>
        <w:spacing w:line="360" w:lineRule="auto"/>
        <w:ind w:firstLine="482" w:firstLineChars="200"/>
        <w:jc w:val="left"/>
        <w:rPr>
          <w:rFonts w:ascii="宋体" w:hAnsi="宋体"/>
          <w:b/>
          <w:bCs/>
          <w:color w:val="000000"/>
          <w:spacing w:val="-2"/>
          <w:kern w:val="0"/>
          <w:sz w:val="24"/>
          <w:szCs w:val="24"/>
        </w:rPr>
        <w:sectPr>
          <w:footerReference r:id="rId7" w:type="default"/>
          <w:pgSz w:w="11906" w:h="16838"/>
          <w:pgMar w:top="1417" w:right="1417" w:bottom="1417" w:left="1417" w:header="851" w:footer="992" w:gutter="0"/>
          <w:cols w:space="720" w:num="1"/>
          <w:docGrid w:type="linesAndChars" w:linePitch="312" w:charSpace="1228"/>
        </w:sectPr>
      </w:pPr>
    </w:p>
    <w:p>
      <w:pPr>
        <w:keepNext/>
        <w:keepLines/>
        <w:spacing w:line="560" w:lineRule="exact"/>
        <w:ind w:firstLine="642" w:firstLineChars="200"/>
        <w:rPr>
          <w:rFonts w:ascii="方正楷体_GBK" w:hAnsi="方正楷体_GBK" w:eastAsia="方正楷体_GBK" w:cs="方正楷体_GBK"/>
          <w:b/>
          <w:bCs/>
          <w:color w:val="000000"/>
          <w:spacing w:val="-2"/>
          <w:kern w:val="0"/>
          <w:sz w:val="32"/>
          <w:szCs w:val="32"/>
        </w:rPr>
      </w:pPr>
      <w:bookmarkStart w:id="117" w:name="_Toc124436461"/>
      <w:bookmarkStart w:id="118" w:name="_Toc124370504"/>
      <w:bookmarkStart w:id="119" w:name="_Toc124405389"/>
      <w:bookmarkStart w:id="120" w:name="_Toc108031856"/>
      <w:bookmarkStart w:id="121" w:name="_Toc124436786"/>
      <w:bookmarkStart w:id="122" w:name="_Toc124436605"/>
      <w:r>
        <w:rPr>
          <w:rFonts w:hint="eastAsia" w:ascii="方正楷体_GBK" w:hAnsi="方正楷体_GBK" w:eastAsia="方正楷体_GBK" w:cs="方正楷体_GBK"/>
          <w:b/>
          <w:bCs/>
          <w:color w:val="000000"/>
          <w:spacing w:val="-2"/>
          <w:kern w:val="0"/>
          <w:sz w:val="32"/>
          <w:szCs w:val="32"/>
        </w:rPr>
        <w:t>（二）护理专业教学进程表</w:t>
      </w:r>
      <w:bookmarkEnd w:id="117"/>
      <w:bookmarkEnd w:id="118"/>
      <w:bookmarkEnd w:id="119"/>
      <w:bookmarkEnd w:id="120"/>
      <w:bookmarkEnd w:id="121"/>
      <w:bookmarkEnd w:id="122"/>
    </w:p>
    <w:tbl>
      <w:tblPr>
        <w:tblStyle w:val="6"/>
        <w:tblW w:w="12795" w:type="dxa"/>
        <w:jc w:val="center"/>
        <w:tblLayout w:type="fixed"/>
        <w:tblCellMar>
          <w:top w:w="0" w:type="dxa"/>
          <w:left w:w="108" w:type="dxa"/>
          <w:bottom w:w="0" w:type="dxa"/>
          <w:right w:w="108" w:type="dxa"/>
        </w:tblCellMar>
      </w:tblPr>
      <w:tblGrid>
        <w:gridCol w:w="663"/>
        <w:gridCol w:w="1257"/>
        <w:gridCol w:w="1097"/>
        <w:gridCol w:w="2721"/>
        <w:gridCol w:w="710"/>
        <w:gridCol w:w="664"/>
        <w:gridCol w:w="709"/>
        <w:gridCol w:w="713"/>
        <w:gridCol w:w="674"/>
        <w:gridCol w:w="619"/>
        <w:gridCol w:w="619"/>
        <w:gridCol w:w="619"/>
        <w:gridCol w:w="619"/>
        <w:gridCol w:w="459"/>
        <w:gridCol w:w="652"/>
      </w:tblGrid>
      <w:tr>
        <w:tblPrEx>
          <w:tblCellMar>
            <w:top w:w="0" w:type="dxa"/>
            <w:left w:w="108" w:type="dxa"/>
            <w:bottom w:w="0" w:type="dxa"/>
            <w:right w:w="108" w:type="dxa"/>
          </w:tblCellMar>
        </w:tblPrEx>
        <w:trPr>
          <w:jc w:val="center"/>
        </w:trPr>
        <w:tc>
          <w:tcPr>
            <w:tcW w:w="3017" w:type="dxa"/>
            <w:gridSpan w:val="3"/>
            <w:vMerge w:val="restart"/>
            <w:tcBorders>
              <w:top w:val="single" w:color="auto" w:sz="4" w:space="0"/>
              <w:left w:val="single" w:color="auto" w:sz="4" w:space="0"/>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序号</w:t>
            </w:r>
          </w:p>
        </w:tc>
        <w:tc>
          <w:tcPr>
            <w:tcW w:w="2721" w:type="dxa"/>
            <w:vMerge w:val="restart"/>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 w:val="36"/>
                <w:szCs w:val="36"/>
              </w:rPr>
            </w:pPr>
            <w:r>
              <w:rPr>
                <w:rFonts w:hint="eastAsia" w:ascii="方正仿宋_GBK" w:hAnsi="宋体" w:eastAsia="方正仿宋_GBK" w:cs="宋体"/>
                <w:color w:val="000000"/>
                <w:kern w:val="0"/>
                <w:sz w:val="36"/>
                <w:szCs w:val="36"/>
              </w:rPr>
              <w:t>课     程</w:t>
            </w:r>
          </w:p>
        </w:tc>
        <w:tc>
          <w:tcPr>
            <w:tcW w:w="1374" w:type="dxa"/>
            <w:gridSpan w:val="2"/>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学期分配</w:t>
            </w:r>
          </w:p>
        </w:tc>
        <w:tc>
          <w:tcPr>
            <w:tcW w:w="2096" w:type="dxa"/>
            <w:gridSpan w:val="3"/>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学时数</w:t>
            </w:r>
          </w:p>
        </w:tc>
        <w:tc>
          <w:tcPr>
            <w:tcW w:w="3587" w:type="dxa"/>
            <w:gridSpan w:val="6"/>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 w:val="28"/>
                <w:szCs w:val="28"/>
              </w:rPr>
            </w:pPr>
            <w:r>
              <w:rPr>
                <w:rFonts w:hint="eastAsia" w:ascii="方正仿宋_GBK" w:hAnsi="宋体" w:eastAsia="方正仿宋_GBK" w:cs="宋体"/>
                <w:color w:val="000000"/>
                <w:kern w:val="0"/>
                <w:sz w:val="28"/>
                <w:szCs w:val="28"/>
              </w:rPr>
              <w:t>按学年及学期分配</w:t>
            </w:r>
          </w:p>
        </w:tc>
      </w:tr>
      <w:tr>
        <w:tblPrEx>
          <w:tblCellMar>
            <w:top w:w="0" w:type="dxa"/>
            <w:left w:w="108" w:type="dxa"/>
            <w:bottom w:w="0" w:type="dxa"/>
            <w:right w:w="108" w:type="dxa"/>
          </w:tblCellMar>
        </w:tblPrEx>
        <w:trPr>
          <w:jc w:val="center"/>
        </w:trPr>
        <w:tc>
          <w:tcPr>
            <w:tcW w:w="3017"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36"/>
                <w:szCs w:val="36"/>
              </w:rPr>
            </w:pPr>
          </w:p>
        </w:tc>
        <w:tc>
          <w:tcPr>
            <w:tcW w:w="272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36"/>
                <w:szCs w:val="36"/>
              </w:rPr>
            </w:pPr>
          </w:p>
        </w:tc>
        <w:tc>
          <w:tcPr>
            <w:tcW w:w="710"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考试</w:t>
            </w:r>
          </w:p>
        </w:tc>
        <w:tc>
          <w:tcPr>
            <w:tcW w:w="664"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考查</w:t>
            </w:r>
          </w:p>
        </w:tc>
        <w:tc>
          <w:tcPr>
            <w:tcW w:w="709"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总计</w:t>
            </w:r>
          </w:p>
        </w:tc>
        <w:tc>
          <w:tcPr>
            <w:tcW w:w="713"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理论</w:t>
            </w:r>
          </w:p>
        </w:tc>
        <w:tc>
          <w:tcPr>
            <w:tcW w:w="674"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实践</w:t>
            </w:r>
          </w:p>
        </w:tc>
        <w:tc>
          <w:tcPr>
            <w:tcW w:w="1238" w:type="dxa"/>
            <w:gridSpan w:val="2"/>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第一学年</w:t>
            </w:r>
          </w:p>
        </w:tc>
        <w:tc>
          <w:tcPr>
            <w:tcW w:w="1238" w:type="dxa"/>
            <w:gridSpan w:val="2"/>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第二学年</w:t>
            </w:r>
          </w:p>
        </w:tc>
        <w:tc>
          <w:tcPr>
            <w:tcW w:w="1111" w:type="dxa"/>
            <w:gridSpan w:val="2"/>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第三学年</w:t>
            </w:r>
          </w:p>
        </w:tc>
      </w:tr>
      <w:tr>
        <w:tblPrEx>
          <w:tblCellMar>
            <w:top w:w="0" w:type="dxa"/>
            <w:left w:w="108" w:type="dxa"/>
            <w:bottom w:w="0" w:type="dxa"/>
            <w:right w:w="108" w:type="dxa"/>
          </w:tblCellMar>
        </w:tblPrEx>
        <w:trPr>
          <w:jc w:val="center"/>
        </w:trPr>
        <w:tc>
          <w:tcPr>
            <w:tcW w:w="3017"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36"/>
                <w:szCs w:val="36"/>
              </w:rPr>
            </w:pPr>
          </w:p>
        </w:tc>
        <w:tc>
          <w:tcPr>
            <w:tcW w:w="272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36"/>
                <w:szCs w:val="36"/>
              </w:rPr>
            </w:pPr>
          </w:p>
        </w:tc>
        <w:tc>
          <w:tcPr>
            <w:tcW w:w="710"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664"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1学期</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2学期</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3学期</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4学期</w:t>
            </w:r>
          </w:p>
        </w:tc>
        <w:tc>
          <w:tcPr>
            <w:tcW w:w="45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5学期</w:t>
            </w:r>
          </w:p>
        </w:tc>
        <w:tc>
          <w:tcPr>
            <w:tcW w:w="652"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6学期</w:t>
            </w:r>
          </w:p>
        </w:tc>
      </w:tr>
      <w:tr>
        <w:tblPrEx>
          <w:tblCellMar>
            <w:top w:w="0" w:type="dxa"/>
            <w:left w:w="108" w:type="dxa"/>
            <w:bottom w:w="0" w:type="dxa"/>
            <w:right w:w="108" w:type="dxa"/>
          </w:tblCellMar>
        </w:tblPrEx>
        <w:trPr>
          <w:jc w:val="center"/>
        </w:trPr>
        <w:tc>
          <w:tcPr>
            <w:tcW w:w="3017"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36"/>
                <w:szCs w:val="36"/>
              </w:rPr>
            </w:pPr>
          </w:p>
        </w:tc>
        <w:tc>
          <w:tcPr>
            <w:tcW w:w="2721" w:type="dxa"/>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36"/>
                <w:szCs w:val="36"/>
              </w:rPr>
            </w:pPr>
          </w:p>
        </w:tc>
        <w:tc>
          <w:tcPr>
            <w:tcW w:w="710"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664"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709"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71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674"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18周</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r>
              <w:rPr>
                <w:rFonts w:hint="eastAsia" w:ascii="方正仿宋_GBK" w:hAnsi="宋体" w:eastAsia="方正仿宋_GBK" w:cs="宋体"/>
                <w:color w:val="000000"/>
                <w:kern w:val="0"/>
                <w:szCs w:val="21"/>
                <w:lang w:val="en-US" w:eastAsia="zh-CN"/>
              </w:rPr>
              <w:t>6</w:t>
            </w:r>
            <w:r>
              <w:rPr>
                <w:rFonts w:hint="eastAsia" w:ascii="方正仿宋_GBK" w:hAnsi="宋体" w:eastAsia="方正仿宋_GBK" w:cs="宋体"/>
                <w:color w:val="000000"/>
                <w:kern w:val="0"/>
                <w:szCs w:val="21"/>
              </w:rPr>
              <w:t>周</w:t>
            </w:r>
          </w:p>
        </w:tc>
        <w:tc>
          <w:tcPr>
            <w:tcW w:w="45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c>
          <w:tcPr>
            <w:tcW w:w="652"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16周</w:t>
            </w:r>
          </w:p>
        </w:tc>
      </w:tr>
      <w:tr>
        <w:tblPrEx>
          <w:tblCellMar>
            <w:top w:w="0" w:type="dxa"/>
            <w:left w:w="108" w:type="dxa"/>
            <w:bottom w:w="0" w:type="dxa"/>
            <w:right w:w="108" w:type="dxa"/>
          </w:tblCellMar>
        </w:tblPrEx>
        <w:trPr>
          <w:jc w:val="center"/>
        </w:trPr>
        <w:tc>
          <w:tcPr>
            <w:tcW w:w="663" w:type="dxa"/>
            <w:vMerge w:val="restart"/>
            <w:tcBorders>
              <w:top w:val="nil"/>
              <w:left w:val="single" w:color="auto" w:sz="4" w:space="0"/>
              <w:bottom w:val="single" w:color="000000"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公共基础课程</w:t>
            </w:r>
          </w:p>
        </w:tc>
        <w:tc>
          <w:tcPr>
            <w:tcW w:w="1257"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公共基础必修课程</w:t>
            </w: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2721" w:type="dxa"/>
            <w:tcBorders>
              <w:top w:val="nil"/>
              <w:left w:val="nil"/>
              <w:bottom w:val="single" w:color="auto" w:sz="4" w:space="0"/>
              <w:right w:val="single" w:color="auto" w:sz="4" w:space="0"/>
            </w:tcBorders>
            <w:noWrap/>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中国特色社会主义</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restart"/>
            <w:tcBorders>
              <w:top w:val="single" w:color="auto" w:sz="4" w:space="0"/>
              <w:left w:val="single" w:color="auto" w:sz="4" w:space="0"/>
              <w:bottom w:val="single" w:color="000000" w:sz="4" w:space="0"/>
              <w:right w:val="single" w:color="000000" w:sz="4" w:space="0"/>
            </w:tcBorders>
            <w:noWrap w:val="0"/>
            <w:vAlign w:val="top"/>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 xml:space="preserve">岗位实习：                  1.医院实习30周（内科8周，外科8周，妇产科4周，儿科4周，手术室2周，急诊室4周）                               2.定向实习2周。             </w:t>
            </w: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2721" w:type="dxa"/>
            <w:tcBorders>
              <w:top w:val="nil"/>
              <w:left w:val="nil"/>
              <w:bottom w:val="single" w:color="auto" w:sz="4" w:space="0"/>
              <w:right w:val="single" w:color="auto" w:sz="4" w:space="0"/>
            </w:tcBorders>
            <w:noWrap/>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职业道德与法治</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2721" w:type="dxa"/>
            <w:tcBorders>
              <w:top w:val="nil"/>
              <w:left w:val="nil"/>
              <w:bottom w:val="single" w:color="auto" w:sz="4" w:space="0"/>
              <w:right w:val="single" w:color="auto" w:sz="4" w:space="0"/>
            </w:tcBorders>
            <w:noWrap/>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哲学与人生</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2721" w:type="dxa"/>
            <w:tcBorders>
              <w:top w:val="nil"/>
              <w:left w:val="nil"/>
              <w:bottom w:val="single" w:color="auto" w:sz="4" w:space="0"/>
              <w:right w:val="single" w:color="auto" w:sz="4" w:space="0"/>
            </w:tcBorders>
            <w:noWrap/>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心理健康与职业生涯</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劳动教育</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2721" w:type="dxa"/>
            <w:tcBorders>
              <w:top w:val="nil"/>
              <w:left w:val="nil"/>
              <w:bottom w:val="single" w:color="auto" w:sz="4" w:space="0"/>
              <w:right w:val="single" w:color="auto" w:sz="4" w:space="0"/>
            </w:tcBorders>
            <w:shd w:val="clear" w:color="auto" w:fill="auto"/>
            <w:noWrap/>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语文</w:t>
            </w:r>
          </w:p>
        </w:tc>
        <w:tc>
          <w:tcPr>
            <w:tcW w:w="710"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w:t>
            </w:r>
          </w:p>
        </w:tc>
        <w:tc>
          <w:tcPr>
            <w:tcW w:w="664" w:type="dxa"/>
            <w:tcBorders>
              <w:top w:val="nil"/>
              <w:left w:val="nil"/>
              <w:bottom w:val="single" w:color="auto" w:sz="4" w:space="0"/>
              <w:right w:val="single" w:color="auto" w:sz="4" w:space="0"/>
            </w:tcBorders>
            <w:shd w:val="clear" w:color="000000" w:fill="FFFFFF"/>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w:t>
            </w:r>
          </w:p>
        </w:tc>
        <w:tc>
          <w:tcPr>
            <w:tcW w:w="2721"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数学</w:t>
            </w:r>
          </w:p>
        </w:tc>
        <w:tc>
          <w:tcPr>
            <w:tcW w:w="710"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w:t>
            </w:r>
          </w:p>
        </w:tc>
        <w:tc>
          <w:tcPr>
            <w:tcW w:w="664" w:type="dxa"/>
            <w:tcBorders>
              <w:top w:val="nil"/>
              <w:left w:val="nil"/>
              <w:bottom w:val="single" w:color="auto" w:sz="4" w:space="0"/>
              <w:right w:val="single" w:color="auto" w:sz="4" w:space="0"/>
            </w:tcBorders>
            <w:shd w:val="clear" w:color="000000" w:fill="FFFFFF"/>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2721"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英语</w:t>
            </w:r>
          </w:p>
        </w:tc>
        <w:tc>
          <w:tcPr>
            <w:tcW w:w="710"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w:t>
            </w:r>
          </w:p>
        </w:tc>
        <w:tc>
          <w:tcPr>
            <w:tcW w:w="664" w:type="dxa"/>
            <w:tcBorders>
              <w:top w:val="nil"/>
              <w:left w:val="nil"/>
              <w:bottom w:val="single" w:color="auto" w:sz="4" w:space="0"/>
              <w:right w:val="single" w:color="auto" w:sz="4" w:space="0"/>
            </w:tcBorders>
            <w:shd w:val="clear" w:color="000000" w:fill="FFFFFF"/>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历史</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64" w:type="dxa"/>
            <w:tcBorders>
              <w:top w:val="nil"/>
              <w:left w:val="nil"/>
              <w:bottom w:val="nil"/>
              <w:right w:val="nil"/>
            </w:tcBorders>
            <w:noWrap/>
            <w:vAlign w:val="bottom"/>
          </w:tcPr>
          <w:p>
            <w:pPr>
              <w:widowControl/>
              <w:spacing w:line="320" w:lineRule="exact"/>
              <w:jc w:val="left"/>
              <w:rPr>
                <w:rFonts w:ascii="宋体" w:hAnsi="宋体" w:cs="宋体"/>
                <w:color w:val="000000"/>
                <w:kern w:val="0"/>
                <w:sz w:val="22"/>
              </w:rPr>
            </w:pPr>
          </w:p>
        </w:tc>
        <w:tc>
          <w:tcPr>
            <w:tcW w:w="709"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w:t>
            </w:r>
          </w:p>
        </w:tc>
        <w:tc>
          <w:tcPr>
            <w:tcW w:w="2721"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 w:val="24"/>
                <w:szCs w:val="24"/>
              </w:rPr>
            </w:pPr>
            <w:r>
              <w:rPr>
                <w:sz w:val="24"/>
              </w:rPr>
              <mc:AlternateContent>
                <mc:Choice Requires="wps">
                  <w:drawing>
                    <wp:anchor distT="0" distB="0" distL="114300" distR="114300" simplePos="0" relativeHeight="251665408" behindDoc="0" locked="0" layoutInCell="1" allowOverlap="1">
                      <wp:simplePos x="0" y="0"/>
                      <wp:positionH relativeFrom="column">
                        <wp:posOffset>-41275</wp:posOffset>
                      </wp:positionH>
                      <wp:positionV relativeFrom="paragraph">
                        <wp:posOffset>2540</wp:posOffset>
                      </wp:positionV>
                      <wp:extent cx="5450205" cy="202565"/>
                      <wp:effectExtent l="6350" t="6350" r="10795" b="19685"/>
                      <wp:wrapNone/>
                      <wp:docPr id="8" name="自选图形 16"/>
                      <wp:cNvGraphicFramePr/>
                      <a:graphic xmlns:a="http://schemas.openxmlformats.org/drawingml/2006/main">
                        <a:graphicData uri="http://schemas.microsoft.com/office/word/2010/wordprocessingShape">
                          <wps:wsp>
                            <wps:cNvSpPr/>
                            <wps:spPr>
                              <a:xfrm>
                                <a:off x="0" y="0"/>
                                <a:ext cx="5450205" cy="202565"/>
                              </a:xfrm>
                              <a:prstGeom prst="roundRect">
                                <a:avLst>
                                  <a:gd name="adj" fmla="val 16667"/>
                                </a:avLst>
                              </a:prstGeom>
                              <a:noFill/>
                              <a:ln w="12700" cap="flat" cmpd="sng">
                                <a:solidFill>
                                  <a:srgbClr val="C00000"/>
                                </a:solidFill>
                                <a:prstDash val="solid"/>
                                <a:headEnd type="none" w="med" len="med"/>
                                <a:tailEnd type="none" w="med" len="med"/>
                              </a:ln>
                            </wps:spPr>
                            <wps:bodyPr vert="horz" wrap="square" anchor="t" upright="1"/>
                          </wps:wsp>
                        </a:graphicData>
                      </a:graphic>
                    </wp:anchor>
                  </w:drawing>
                </mc:Choice>
                <mc:Fallback>
                  <w:pict>
                    <v:roundrect id="自选图形 16" o:spid="_x0000_s1026" o:spt="2" style="position:absolute;left:0pt;margin-left:-3.25pt;margin-top:0.2pt;height:15.95pt;width:429.15pt;z-index:251665408;mso-width-relative:page;mso-height-relative:page;" filled="f" stroked="t" coordsize="21600,21600" arcsize="0.166666666666667" o:gfxdata="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dcA4INgAAAAGAQAADwAA&#10;AAAAAAABACAAAAAiAAAAZHJzL2Rvd25yZXYueG1sUEsBAhQAFAAAAAgAh07iQOH++GoWAgAA+wMA&#10;AA4AAAAAAAAAAQAgAAAAJwEAAGRycy9lMm9Eb2MueG1sUEsFBgAAAAAGAAYAWQEAAK8FAAAAAA==&#10;">
                      <v:fill on="f" focussize="0,0"/>
                      <v:stroke weight="1pt" color="#C00000" joinstyle="round"/>
                      <v:imagedata o:title=""/>
                      <o:lock v:ext="edit" aspectratio="f"/>
                    </v:roundrect>
                  </w:pict>
                </mc:Fallback>
              </mc:AlternateContent>
            </w:r>
            <w:r>
              <w:rPr>
                <w:rFonts w:hint="eastAsia" w:ascii="方正仿宋_GBK" w:hAnsi="宋体" w:eastAsia="方正仿宋_GBK" w:cs="宋体"/>
                <w:color w:val="000000"/>
                <w:kern w:val="0"/>
                <w:sz w:val="24"/>
                <w:szCs w:val="24"/>
              </w:rPr>
              <w:t>信息技术</w:t>
            </w:r>
          </w:p>
        </w:tc>
        <w:tc>
          <w:tcPr>
            <w:tcW w:w="710"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center"/>
              <w:rPr>
                <w:rFonts w:ascii="方正仿宋_GBK" w:hAnsi="宋体" w:eastAsia="方正仿宋_GBK" w:cs="宋体"/>
                <w:color w:val="000000"/>
                <w:kern w:val="0"/>
                <w:szCs w:val="21"/>
              </w:rPr>
            </w:pPr>
          </w:p>
        </w:tc>
        <w:tc>
          <w:tcPr>
            <w:tcW w:w="664" w:type="dxa"/>
            <w:tcBorders>
              <w:top w:val="single" w:color="auto" w:sz="4" w:space="0"/>
              <w:left w:val="nil"/>
              <w:bottom w:val="single" w:color="auto" w:sz="4" w:space="0"/>
              <w:right w:val="single" w:color="auto" w:sz="4" w:space="0"/>
            </w:tcBorders>
            <w:shd w:val="clear" w:color="000000" w:fill="FFFFFF"/>
            <w:noWrap w:val="0"/>
            <w:vAlign w:val="center"/>
          </w:tcPr>
          <w:p>
            <w:pPr>
              <w:widowControl/>
              <w:spacing w:line="320" w:lineRule="exact"/>
              <w:jc w:val="center"/>
              <w:rPr>
                <w:rFonts w:hint="default" w:ascii="方正仿宋_GBK" w:hAnsi="宋体" w:eastAsia="方正仿宋_GBK" w:cs="宋体"/>
                <w:color w:val="000000"/>
                <w:kern w:val="0"/>
                <w:szCs w:val="21"/>
                <w:lang w:val="en-US" w:eastAsia="zh-CN"/>
              </w:rPr>
            </w:pPr>
            <w:r>
              <w:rPr>
                <w:rFonts w:hint="eastAsia" w:ascii="方正仿宋_GBK" w:hAnsi="宋体" w:eastAsia="方正仿宋_GBK" w:cs="宋体"/>
                <w:color w:val="000000"/>
                <w:kern w:val="0"/>
                <w:szCs w:val="21"/>
                <w:lang w:val="en-US" w:eastAsia="zh-CN"/>
              </w:rPr>
              <w:t>1-4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hint="default" w:ascii="方正仿宋_GBK" w:hAnsi="宋体" w:eastAsia="方正仿宋_GBK" w:cs="宋体"/>
                <w:color w:val="000000"/>
                <w:kern w:val="0"/>
                <w:szCs w:val="21"/>
                <w:lang w:val="en-US" w:eastAsia="zh-CN"/>
              </w:rPr>
            </w:pPr>
            <w:r>
              <w:rPr>
                <w:rFonts w:hint="eastAsia" w:ascii="方正仿宋_GBK" w:hAnsi="宋体" w:eastAsia="方正仿宋_GBK" w:cs="宋体"/>
                <w:color w:val="000000"/>
                <w:kern w:val="0"/>
                <w:szCs w:val="21"/>
                <w:lang w:val="en-US" w:eastAsia="zh-CN"/>
              </w:rPr>
              <w:t>144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hint="default" w:ascii="方正仿宋_GBK" w:hAnsi="宋体" w:eastAsia="方正仿宋_GBK" w:cs="宋体"/>
                <w:color w:val="000000"/>
                <w:kern w:val="0"/>
                <w:szCs w:val="21"/>
                <w:lang w:val="en-US" w:eastAsia="zh-CN"/>
              </w:rPr>
            </w:pPr>
            <w:r>
              <w:rPr>
                <w:rFonts w:hint="eastAsia" w:ascii="方正仿宋_GBK" w:hAnsi="宋体" w:eastAsia="方正仿宋_GBK" w:cs="宋体"/>
                <w:color w:val="000000"/>
                <w:kern w:val="0"/>
                <w:szCs w:val="21"/>
                <w:lang w:val="en-US" w:eastAsia="zh-CN"/>
              </w:rPr>
              <w:t>44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hint="default" w:ascii="方正仿宋_GBK" w:hAnsi="宋体" w:eastAsia="方正仿宋_GBK" w:cs="宋体"/>
                <w:color w:val="000000"/>
                <w:kern w:val="0"/>
                <w:szCs w:val="21"/>
                <w:lang w:val="en-US" w:eastAsia="zh-CN"/>
              </w:rPr>
            </w:pPr>
            <w:r>
              <w:rPr>
                <w:rFonts w:hint="eastAsia" w:ascii="方正仿宋_GBK" w:hAnsi="宋体" w:eastAsia="方正仿宋_GBK" w:cs="宋体"/>
                <w:color w:val="000000"/>
                <w:kern w:val="0"/>
                <w:szCs w:val="21"/>
                <w:lang w:val="en-US" w:eastAsia="zh-CN"/>
              </w:rPr>
              <w:t>100</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lang w:val="en-US" w:eastAsia="zh-CN"/>
              </w:rPr>
              <w:t>2</w:t>
            </w: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lang w:val="en-US" w:eastAsia="zh-CN"/>
              </w:rPr>
              <w:t>2</w:t>
            </w: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11</w:t>
            </w:r>
          </w:p>
        </w:tc>
        <w:tc>
          <w:tcPr>
            <w:tcW w:w="2721"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体育与健康</w:t>
            </w:r>
          </w:p>
        </w:tc>
        <w:tc>
          <w:tcPr>
            <w:tcW w:w="710" w:type="dxa"/>
            <w:tcBorders>
              <w:top w:val="nil"/>
              <w:left w:val="nil"/>
              <w:bottom w:val="single" w:color="auto" w:sz="4" w:space="0"/>
              <w:right w:val="single" w:color="auto" w:sz="4" w:space="0"/>
            </w:tcBorders>
            <w:shd w:val="clear" w:color="auto" w:fill="auto"/>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64" w:type="dxa"/>
            <w:tcBorders>
              <w:top w:val="nil"/>
              <w:left w:val="nil"/>
              <w:bottom w:val="single" w:color="auto" w:sz="4" w:space="0"/>
              <w:right w:val="single" w:color="auto" w:sz="4" w:space="0"/>
            </w:tcBorders>
            <w:shd w:val="clear" w:color="000000" w:fill="FFFFFF"/>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32</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艺术（音乐美术）</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5075" w:type="dxa"/>
            <w:gridSpan w:val="3"/>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小计</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972</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714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258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公共基础限定选修</w:t>
            </w:r>
            <w:r>
              <w:rPr>
                <w:rFonts w:hint="eastAsia" w:ascii="方正仿宋_GBK" w:hAnsi="宋体" w:eastAsia="方正仿宋_GBK" w:cs="宋体"/>
                <w:b/>
                <w:color w:val="000000"/>
                <w:kern w:val="0"/>
                <w:szCs w:val="21"/>
                <w:vertAlign w:val="superscript"/>
              </w:rPr>
              <w:t>1</w:t>
            </w: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13</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医学人文素养</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医用化学</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15</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人际沟通</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16</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护理礼仪</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5075" w:type="dxa"/>
            <w:gridSpan w:val="3"/>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小计</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108</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公共基础任意选修</w:t>
            </w:r>
            <w:r>
              <w:rPr>
                <w:rFonts w:hint="eastAsia" w:ascii="方正仿宋_GBK" w:hAnsi="宋体" w:eastAsia="方正仿宋_GBK" w:cs="宋体"/>
                <w:b/>
                <w:color w:val="000000"/>
                <w:kern w:val="0"/>
                <w:szCs w:val="21"/>
                <w:vertAlign w:val="superscript"/>
              </w:rPr>
              <w:t>2</w:t>
            </w: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17</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中华优秀传统文化</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2721"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仁道文化</w:t>
            </w:r>
          </w:p>
        </w:tc>
        <w:tc>
          <w:tcPr>
            <w:tcW w:w="710"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64"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19</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安全教育</w:t>
            </w:r>
          </w:p>
        </w:tc>
        <w:tc>
          <w:tcPr>
            <w:tcW w:w="710"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p>
        </w:tc>
        <w:tc>
          <w:tcPr>
            <w:tcW w:w="709" w:type="dxa"/>
            <w:tcBorders>
              <w:top w:val="nil"/>
              <w:left w:val="nil"/>
              <w:bottom w:val="single" w:color="auto" w:sz="4" w:space="0"/>
              <w:right w:val="single" w:color="auto" w:sz="4" w:space="0"/>
            </w:tcBorders>
            <w:noWrap w:val="0"/>
            <w:vAlign w:val="center"/>
          </w:tcPr>
          <w:p>
            <w:pPr>
              <w:widowControl/>
              <w:spacing w:line="320" w:lineRule="exact"/>
              <w:rPr>
                <w:rFonts w:ascii="方正仿宋_GBK" w:hAnsi="宋体" w:eastAsia="方正仿宋_GBK" w:cs="宋体"/>
                <w:color w:val="000000"/>
                <w:kern w:val="0"/>
                <w:szCs w:val="21"/>
              </w:rPr>
            </w:pP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p>
        </w:tc>
        <w:tc>
          <w:tcPr>
            <w:tcW w:w="674" w:type="dxa"/>
            <w:tcBorders>
              <w:top w:val="nil"/>
              <w:left w:val="nil"/>
              <w:bottom w:val="single" w:color="auto" w:sz="4" w:space="0"/>
              <w:right w:val="single" w:color="auto" w:sz="4" w:space="0"/>
            </w:tcBorders>
            <w:noWrap/>
            <w:vAlign w:val="center"/>
          </w:tcPr>
          <w:p>
            <w:pPr>
              <w:widowControl/>
              <w:spacing w:line="320" w:lineRule="exact"/>
              <w:rPr>
                <w:rFonts w:ascii="方正仿宋_GBK" w:hAnsi="宋体" w:eastAsia="方正仿宋_GBK" w:cs="宋体"/>
                <w:color w:val="000000"/>
                <w:kern w:val="0"/>
                <w:szCs w:val="21"/>
              </w:rPr>
            </w:pP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 w:val="18"/>
                <w:szCs w:val="21"/>
              </w:rPr>
              <w:t>讲座</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5075" w:type="dxa"/>
            <w:gridSpan w:val="3"/>
            <w:tcBorders>
              <w:top w:val="single" w:color="auto" w:sz="4" w:space="0"/>
              <w:left w:val="nil"/>
              <w:bottom w:val="single" w:color="auto" w:sz="4" w:space="0"/>
              <w:right w:val="single" w:color="000000"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小计</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专业技能课程</w:t>
            </w:r>
          </w:p>
        </w:tc>
        <w:tc>
          <w:tcPr>
            <w:tcW w:w="1257" w:type="dxa"/>
            <w:vMerge w:val="restart"/>
            <w:tcBorders>
              <w:top w:val="nil"/>
              <w:left w:val="single" w:color="auto" w:sz="4" w:space="0"/>
              <w:bottom w:val="single" w:color="000000"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专业核心课程</w:t>
            </w: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20</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解剖学基础</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62</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生理学基础</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药物应用护理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46</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23</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护理学基础</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健康评估</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42</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25</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护理技能综合实训</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内科护理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27</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外科护理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108</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28</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妇产科护理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29</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儿科护理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48</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3818" w:type="dxa"/>
            <w:gridSpan w:val="2"/>
            <w:tcBorders>
              <w:top w:val="single" w:color="auto" w:sz="4" w:space="0"/>
              <w:left w:val="nil"/>
              <w:bottom w:val="single" w:color="auto" w:sz="4" w:space="0"/>
              <w:right w:val="single" w:color="000000"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小计</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828</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564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264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000000"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专业技能（方向）课程</w:t>
            </w: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急救护理技术</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31</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社区护理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32</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老年护理</w:t>
            </w:r>
          </w:p>
        </w:tc>
        <w:tc>
          <w:tcPr>
            <w:tcW w:w="710" w:type="dxa"/>
            <w:tcBorders>
              <w:top w:val="nil"/>
              <w:left w:val="nil"/>
              <w:bottom w:val="single" w:color="auto" w:sz="4" w:space="0"/>
              <w:right w:val="nil"/>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000000"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3818" w:type="dxa"/>
            <w:gridSpan w:val="2"/>
            <w:tcBorders>
              <w:top w:val="single" w:color="auto" w:sz="4" w:space="0"/>
              <w:left w:val="nil"/>
              <w:bottom w:val="single" w:color="auto" w:sz="4" w:space="0"/>
              <w:right w:val="nil"/>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小计</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108</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84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restart"/>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专业选修课程</w:t>
            </w:r>
            <w:r>
              <w:rPr>
                <w:rFonts w:hint="eastAsia" w:ascii="方正仿宋_GBK" w:hAnsi="宋体" w:eastAsia="方正仿宋_GBK" w:cs="宋体"/>
                <w:b/>
                <w:color w:val="000000"/>
                <w:kern w:val="0"/>
                <w:szCs w:val="21"/>
                <w:vertAlign w:val="superscript"/>
              </w:rPr>
              <w:t>3</w:t>
            </w: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33</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病原微生物与免疫学基础</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34</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病理学基础</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35</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传染病护理</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护理心理</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37</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中医护理</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38</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对口升学、护考培训课程</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39</w:t>
            </w:r>
          </w:p>
        </w:tc>
        <w:tc>
          <w:tcPr>
            <w:tcW w:w="2721" w:type="dxa"/>
            <w:tcBorders>
              <w:top w:val="nil"/>
              <w:left w:val="nil"/>
              <w:bottom w:val="single" w:color="auto" w:sz="4" w:space="0"/>
              <w:right w:val="nil"/>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1+X老年照护技能等级证书培训课程</w:t>
            </w:r>
          </w:p>
        </w:tc>
        <w:tc>
          <w:tcPr>
            <w:tcW w:w="710" w:type="dxa"/>
            <w:tcBorders>
              <w:top w:val="nil"/>
              <w:left w:val="single" w:color="auto" w:sz="4" w:space="0"/>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left"/>
              <w:rPr>
                <w:rFonts w:ascii="方正仿宋_GBK" w:hAnsi="宋体" w:eastAsia="方正仿宋_GBK" w:cs="宋体"/>
                <w:color w:val="000000"/>
                <w:kern w:val="0"/>
                <w:szCs w:val="21"/>
              </w:rPr>
            </w:pPr>
          </w:p>
        </w:tc>
        <w:tc>
          <w:tcPr>
            <w:tcW w:w="1097" w:type="dxa"/>
            <w:tcBorders>
              <w:top w:val="nil"/>
              <w:left w:val="nil"/>
              <w:bottom w:val="single" w:color="auto" w:sz="4" w:space="0"/>
              <w:right w:val="single" w:color="auto" w:sz="4" w:space="0"/>
            </w:tcBorders>
            <w:shd w:val="clear" w:color="auto" w:fill="auto"/>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40</w:t>
            </w:r>
          </w:p>
        </w:tc>
        <w:tc>
          <w:tcPr>
            <w:tcW w:w="2721" w:type="dxa"/>
            <w:tcBorders>
              <w:top w:val="nil"/>
              <w:left w:val="nil"/>
              <w:bottom w:val="single" w:color="auto" w:sz="4" w:space="0"/>
              <w:right w:val="nil"/>
            </w:tcBorders>
            <w:shd w:val="clear" w:color="auto" w:fill="auto"/>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1+X母婴护理技能等级证书培训课程</w:t>
            </w:r>
          </w:p>
        </w:tc>
        <w:tc>
          <w:tcPr>
            <w:tcW w:w="710" w:type="dxa"/>
            <w:tcBorders>
              <w:top w:val="nil"/>
              <w:left w:val="single" w:color="auto" w:sz="4" w:space="0"/>
              <w:bottom w:val="single" w:color="auto" w:sz="4" w:space="0"/>
              <w:right w:val="single" w:color="auto" w:sz="4" w:space="0"/>
            </w:tcBorders>
            <w:shd w:val="clear" w:color="auto" w:fill="auto"/>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64" w:type="dxa"/>
            <w:tcBorders>
              <w:top w:val="nil"/>
              <w:left w:val="nil"/>
              <w:bottom w:val="single" w:color="auto" w:sz="4" w:space="0"/>
              <w:right w:val="single" w:color="auto" w:sz="4" w:space="0"/>
            </w:tcBorders>
            <w:shd w:val="clear" w:color="000000" w:fill="FFFFFF"/>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63"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1257" w:type="dxa"/>
            <w:vMerge w:val="continue"/>
            <w:tcBorders>
              <w:top w:val="nil"/>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3818" w:type="dxa"/>
            <w:gridSpan w:val="2"/>
            <w:tcBorders>
              <w:top w:val="single" w:color="auto" w:sz="4" w:space="0"/>
              <w:left w:val="nil"/>
              <w:bottom w:val="single" w:color="auto" w:sz="4" w:space="0"/>
              <w:right w:val="nil"/>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小计</w:t>
            </w:r>
          </w:p>
        </w:tc>
        <w:tc>
          <w:tcPr>
            <w:tcW w:w="710" w:type="dxa"/>
            <w:tcBorders>
              <w:top w:val="nil"/>
              <w:left w:val="single" w:color="auto" w:sz="4" w:space="0"/>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64" w:type="dxa"/>
            <w:tcBorders>
              <w:top w:val="nil"/>
              <w:left w:val="nil"/>
              <w:bottom w:val="single" w:color="auto" w:sz="4" w:space="0"/>
              <w:right w:val="single" w:color="auto" w:sz="4" w:space="0"/>
            </w:tcBorders>
            <w:noWrap/>
            <w:vAlign w:val="bottom"/>
          </w:tcPr>
          <w:p>
            <w:pPr>
              <w:widowControl/>
              <w:spacing w:line="320" w:lineRule="exact"/>
              <w:jc w:val="center"/>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216</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144</w:t>
            </w:r>
          </w:p>
        </w:tc>
        <w:tc>
          <w:tcPr>
            <w:tcW w:w="674" w:type="dxa"/>
            <w:tcBorders>
              <w:top w:val="nil"/>
              <w:left w:val="nil"/>
              <w:bottom w:val="single" w:color="auto" w:sz="4" w:space="0"/>
              <w:right w:val="single" w:color="auto" w:sz="4" w:space="0"/>
            </w:tcBorders>
            <w:noWrap/>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72</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方正仿宋_GBK" w:hAnsi="宋体" w:eastAsia="方正仿宋_GBK" w:cs="宋体"/>
                <w:color w:val="000000"/>
                <w:kern w:val="0"/>
                <w:sz w:val="22"/>
              </w:rPr>
            </w:pPr>
            <w:r>
              <w:rPr>
                <w:rFonts w:hint="eastAsia" w:ascii="方正仿宋_GBK" w:hAnsi="宋体" w:eastAsia="方正仿宋_GBK"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448" w:type="dxa"/>
            <w:gridSpan w:val="5"/>
            <w:tcBorders>
              <w:top w:val="single" w:color="auto" w:sz="4" w:space="0"/>
              <w:left w:val="single" w:color="auto" w:sz="4" w:space="0"/>
              <w:bottom w:val="single" w:color="auto" w:sz="4" w:space="0"/>
              <w:right w:val="single" w:color="auto" w:sz="4" w:space="0"/>
            </w:tcBorders>
            <w:shd w:val="clear" w:color="000000" w:fill="FFFF00"/>
            <w:noWrap w:val="0"/>
            <w:vAlign w:val="center"/>
          </w:tcPr>
          <w:p>
            <w:pPr>
              <w:widowControl/>
              <w:spacing w:line="320" w:lineRule="exact"/>
              <w:jc w:val="center"/>
              <w:rPr>
                <w:rFonts w:ascii="仿宋" w:hAnsi="仿宋" w:eastAsia="仿宋" w:cs="宋体"/>
                <w:b/>
                <w:bCs/>
                <w:color w:val="000000"/>
                <w:kern w:val="0"/>
                <w:sz w:val="22"/>
              </w:rPr>
            </w:pPr>
            <w:r>
              <w:rPr>
                <w:rFonts w:hint="eastAsia" w:ascii="仿宋" w:hAnsi="仿宋" w:eastAsia="仿宋" w:cs="宋体"/>
                <w:b/>
                <w:bCs/>
                <w:color w:val="000000"/>
                <w:kern w:val="0"/>
                <w:sz w:val="22"/>
              </w:rPr>
              <w:t>在校教学学时合计</w:t>
            </w:r>
          </w:p>
        </w:tc>
        <w:tc>
          <w:tcPr>
            <w:tcW w:w="664"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仿宋" w:hAnsi="仿宋" w:eastAsia="仿宋" w:cs="宋体"/>
                <w:b/>
                <w:bCs/>
                <w:color w:val="000000"/>
                <w:kern w:val="0"/>
                <w:sz w:val="22"/>
              </w:rPr>
            </w:pPr>
            <w:r>
              <w:rPr>
                <w:rFonts w:hint="eastAsia" w:ascii="仿宋" w:hAnsi="仿宋" w:eastAsia="仿宋" w:cs="宋体"/>
                <w:b/>
                <w:bCs/>
                <w:color w:val="000000"/>
                <w:kern w:val="0"/>
                <w:sz w:val="22"/>
              </w:rPr>
              <w:t>　</w:t>
            </w:r>
          </w:p>
        </w:tc>
        <w:tc>
          <w:tcPr>
            <w:tcW w:w="709"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 w:val="22"/>
              </w:rPr>
            </w:pPr>
            <w:r>
              <w:rPr>
                <w:rFonts w:hint="eastAsia" w:ascii="方正仿宋_GBK" w:hAnsi="宋体" w:eastAsia="方正仿宋_GBK" w:cs="宋体"/>
                <w:b/>
                <w:bCs/>
                <w:color w:val="000000"/>
                <w:kern w:val="0"/>
                <w:sz w:val="22"/>
              </w:rPr>
              <w:t>2232</w:t>
            </w:r>
          </w:p>
        </w:tc>
        <w:tc>
          <w:tcPr>
            <w:tcW w:w="713"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 w:val="22"/>
              </w:rPr>
            </w:pPr>
            <w:r>
              <w:rPr>
                <w:rFonts w:hint="eastAsia" w:ascii="方正仿宋_GBK" w:hAnsi="宋体" w:eastAsia="方正仿宋_GBK" w:cs="宋体"/>
                <w:b/>
                <w:bCs/>
                <w:color w:val="000000"/>
                <w:kern w:val="0"/>
                <w:sz w:val="22"/>
              </w:rPr>
              <w:t>1596</w:t>
            </w:r>
          </w:p>
        </w:tc>
        <w:tc>
          <w:tcPr>
            <w:tcW w:w="674"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 w:val="22"/>
              </w:rPr>
            </w:pPr>
            <w:r>
              <w:rPr>
                <w:rFonts w:hint="eastAsia" w:ascii="方正仿宋_GBK" w:hAnsi="宋体" w:eastAsia="方正仿宋_GBK" w:cs="宋体"/>
                <w:b/>
                <w:bCs/>
                <w:color w:val="000000"/>
                <w:kern w:val="0"/>
                <w:sz w:val="22"/>
              </w:rPr>
              <w:t>636</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3017" w:type="dxa"/>
            <w:gridSpan w:val="3"/>
            <w:vMerge w:val="restart"/>
            <w:tcBorders>
              <w:top w:val="single" w:color="auto" w:sz="4" w:space="0"/>
              <w:left w:val="single" w:color="auto" w:sz="4" w:space="0"/>
              <w:bottom w:val="nil"/>
              <w:right w:val="single" w:color="000000" w:sz="4" w:space="0"/>
            </w:tcBorders>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综合实践</w:t>
            </w: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岗位认知</w:t>
            </w:r>
          </w:p>
        </w:tc>
        <w:tc>
          <w:tcPr>
            <w:tcW w:w="710"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3017" w:type="dxa"/>
            <w:gridSpan w:val="3"/>
            <w:vMerge w:val="continue"/>
            <w:tcBorders>
              <w:top w:val="single" w:color="auto" w:sz="4" w:space="0"/>
              <w:left w:val="single" w:color="auto" w:sz="4" w:space="0"/>
              <w:bottom w:val="nil"/>
              <w:right w:val="single" w:color="000000" w:sz="4" w:space="0"/>
            </w:tcBorders>
            <w:noWrap w:val="0"/>
            <w:vAlign w:val="center"/>
          </w:tcPr>
          <w:p>
            <w:pPr>
              <w:widowControl/>
              <w:spacing w:line="320" w:lineRule="exact"/>
              <w:jc w:val="left"/>
              <w:rPr>
                <w:rFonts w:ascii="仿宋" w:hAnsi="仿宋" w:eastAsia="仿宋" w:cs="宋体"/>
                <w:color w:val="000000"/>
                <w:kern w:val="0"/>
                <w:szCs w:val="21"/>
              </w:rPr>
            </w:pP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岗位见习</w:t>
            </w:r>
          </w:p>
        </w:tc>
        <w:tc>
          <w:tcPr>
            <w:tcW w:w="710"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30</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3017" w:type="dxa"/>
            <w:gridSpan w:val="3"/>
            <w:vMerge w:val="continue"/>
            <w:tcBorders>
              <w:top w:val="single" w:color="auto" w:sz="4" w:space="0"/>
              <w:left w:val="single" w:color="auto" w:sz="4" w:space="0"/>
              <w:bottom w:val="nil"/>
              <w:right w:val="single" w:color="000000" w:sz="4" w:space="0"/>
            </w:tcBorders>
            <w:noWrap w:val="0"/>
            <w:vAlign w:val="center"/>
          </w:tcPr>
          <w:p>
            <w:pPr>
              <w:widowControl/>
              <w:spacing w:line="320" w:lineRule="exact"/>
              <w:jc w:val="left"/>
              <w:rPr>
                <w:rFonts w:ascii="仿宋" w:hAnsi="仿宋" w:eastAsia="仿宋" w:cs="宋体"/>
                <w:color w:val="000000"/>
                <w:kern w:val="0"/>
                <w:szCs w:val="21"/>
              </w:rPr>
            </w:pPr>
          </w:p>
        </w:tc>
        <w:tc>
          <w:tcPr>
            <w:tcW w:w="2721" w:type="dxa"/>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r>
              <w:rPr>
                <w:rFonts w:hint="eastAsia" w:ascii="方正仿宋_GBK" w:hAnsi="宋体" w:eastAsia="方正仿宋_GBK" w:cs="宋体"/>
                <w:color w:val="000000"/>
                <w:kern w:val="0"/>
                <w:sz w:val="24"/>
                <w:szCs w:val="24"/>
              </w:rPr>
              <w:t>岗位实习</w:t>
            </w:r>
            <w:r>
              <w:rPr>
                <w:rFonts w:hint="eastAsia" w:ascii="方正仿宋_GBK" w:hAnsi="宋体" w:eastAsia="方正仿宋_GBK" w:cs="宋体"/>
                <w:b/>
                <w:color w:val="000000"/>
                <w:kern w:val="0"/>
                <w:sz w:val="24"/>
                <w:szCs w:val="24"/>
                <w:vertAlign w:val="superscript"/>
              </w:rPr>
              <w:t>4</w:t>
            </w:r>
          </w:p>
        </w:tc>
        <w:tc>
          <w:tcPr>
            <w:tcW w:w="710"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64"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709"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713"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w:t>
            </w:r>
          </w:p>
        </w:tc>
        <w:tc>
          <w:tcPr>
            <w:tcW w:w="674" w:type="dxa"/>
            <w:tcBorders>
              <w:top w:val="nil"/>
              <w:left w:val="nil"/>
              <w:bottom w:val="single" w:color="auto" w:sz="4" w:space="0"/>
              <w:right w:val="single" w:color="auto" w:sz="4" w:space="0"/>
            </w:tcBorders>
            <w:noWrap w:val="0"/>
            <w:vAlign w:val="center"/>
          </w:tcPr>
          <w:p>
            <w:pPr>
              <w:widowControl/>
              <w:spacing w:line="320" w:lineRule="exact"/>
              <w:jc w:val="center"/>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960</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center"/>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5738" w:type="dxa"/>
            <w:gridSpan w:val="4"/>
            <w:tcBorders>
              <w:top w:val="nil"/>
              <w:left w:val="single" w:color="auto" w:sz="4" w:space="0"/>
              <w:bottom w:val="single" w:color="auto" w:sz="4" w:space="0"/>
              <w:right w:val="single" w:color="000000"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 w:val="24"/>
                <w:szCs w:val="24"/>
              </w:rPr>
            </w:pPr>
            <w:r>
              <w:rPr>
                <w:rFonts w:hint="eastAsia" w:ascii="方正仿宋_GBK" w:hAnsi="宋体" w:eastAsia="方正仿宋_GBK" w:cs="宋体"/>
                <w:b/>
                <w:bCs/>
                <w:color w:val="000000"/>
                <w:kern w:val="0"/>
                <w:sz w:val="24"/>
                <w:szCs w:val="24"/>
              </w:rPr>
              <w:t>综合实践学时合计</w:t>
            </w:r>
          </w:p>
        </w:tc>
        <w:tc>
          <w:tcPr>
            <w:tcW w:w="710" w:type="dxa"/>
            <w:tcBorders>
              <w:top w:val="nil"/>
              <w:left w:val="nil"/>
              <w:bottom w:val="single" w:color="auto" w:sz="4" w:space="0"/>
              <w:right w:val="single" w:color="auto" w:sz="4" w:space="0"/>
            </w:tcBorders>
            <w:shd w:val="clear" w:color="000000" w:fill="FFFF00"/>
            <w:noWrap/>
            <w:vAlign w:val="bottom"/>
          </w:tcPr>
          <w:p>
            <w:pPr>
              <w:widowControl/>
              <w:spacing w:line="320" w:lineRule="exact"/>
              <w:jc w:val="left"/>
              <w:rPr>
                <w:rFonts w:ascii="宋体" w:hAnsi="宋体" w:cs="宋体"/>
                <w:b/>
                <w:bCs/>
                <w:color w:val="000000"/>
                <w:kern w:val="0"/>
                <w:sz w:val="22"/>
              </w:rPr>
            </w:pPr>
            <w:r>
              <w:rPr>
                <w:rFonts w:hint="eastAsia" w:ascii="宋体" w:hAnsi="宋体" w:cs="宋体"/>
                <w:b/>
                <w:bCs/>
                <w:color w:val="000000"/>
                <w:kern w:val="0"/>
                <w:sz w:val="22"/>
              </w:rPr>
              <w:t>　</w:t>
            </w:r>
          </w:p>
        </w:tc>
        <w:tc>
          <w:tcPr>
            <w:tcW w:w="664" w:type="dxa"/>
            <w:tcBorders>
              <w:top w:val="nil"/>
              <w:left w:val="nil"/>
              <w:bottom w:val="single" w:color="auto" w:sz="4" w:space="0"/>
              <w:right w:val="single" w:color="auto" w:sz="4" w:space="0"/>
            </w:tcBorders>
            <w:shd w:val="clear" w:color="000000" w:fill="FFFF00"/>
            <w:noWrap/>
            <w:vAlign w:val="bottom"/>
          </w:tcPr>
          <w:p>
            <w:pPr>
              <w:widowControl/>
              <w:spacing w:line="320" w:lineRule="exact"/>
              <w:jc w:val="left"/>
              <w:rPr>
                <w:rFonts w:ascii="宋体" w:hAnsi="宋体" w:cs="宋体"/>
                <w:b/>
                <w:bCs/>
                <w:color w:val="000000"/>
                <w:kern w:val="0"/>
                <w:sz w:val="22"/>
              </w:rPr>
            </w:pPr>
            <w:r>
              <w:rPr>
                <w:rFonts w:hint="eastAsia" w:ascii="宋体" w:hAnsi="宋体" w:cs="宋体"/>
                <w:b/>
                <w:bCs/>
                <w:color w:val="000000"/>
                <w:kern w:val="0"/>
                <w:sz w:val="22"/>
              </w:rPr>
              <w:t>　</w:t>
            </w:r>
          </w:p>
        </w:tc>
        <w:tc>
          <w:tcPr>
            <w:tcW w:w="709"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Cs w:val="21"/>
              </w:rPr>
            </w:pPr>
            <w:r>
              <w:rPr>
                <w:rFonts w:hint="eastAsia" w:ascii="方正仿宋_GBK" w:hAnsi="宋体" w:eastAsia="方正仿宋_GBK" w:cs="宋体"/>
                <w:b/>
                <w:bCs/>
                <w:color w:val="000000"/>
                <w:kern w:val="0"/>
                <w:szCs w:val="21"/>
              </w:rPr>
              <w:t>1020</w:t>
            </w:r>
          </w:p>
        </w:tc>
        <w:tc>
          <w:tcPr>
            <w:tcW w:w="713"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Cs w:val="21"/>
              </w:rPr>
            </w:pPr>
            <w:r>
              <w:rPr>
                <w:rFonts w:hint="eastAsia" w:ascii="方正仿宋_GBK" w:hAnsi="宋体" w:eastAsia="方正仿宋_GBK" w:cs="宋体"/>
                <w:b/>
                <w:bCs/>
                <w:color w:val="000000"/>
                <w:kern w:val="0"/>
                <w:szCs w:val="21"/>
              </w:rPr>
              <w:t>　</w:t>
            </w:r>
          </w:p>
        </w:tc>
        <w:tc>
          <w:tcPr>
            <w:tcW w:w="674" w:type="dxa"/>
            <w:tcBorders>
              <w:top w:val="nil"/>
              <w:left w:val="nil"/>
              <w:bottom w:val="single" w:color="auto" w:sz="4" w:space="0"/>
              <w:right w:val="single" w:color="auto" w:sz="4" w:space="0"/>
            </w:tcBorders>
            <w:shd w:val="clear" w:color="000000" w:fill="FFFF00"/>
            <w:noWrap w:val="0"/>
            <w:vAlign w:val="center"/>
          </w:tcPr>
          <w:p>
            <w:pPr>
              <w:widowControl/>
              <w:spacing w:line="320" w:lineRule="exact"/>
              <w:jc w:val="center"/>
              <w:rPr>
                <w:rFonts w:ascii="方正仿宋_GBK" w:hAnsi="宋体" w:eastAsia="方正仿宋_GBK" w:cs="宋体"/>
                <w:b/>
                <w:bCs/>
                <w:color w:val="000000"/>
                <w:kern w:val="0"/>
                <w:szCs w:val="21"/>
              </w:rPr>
            </w:pPr>
            <w:r>
              <w:rPr>
                <w:rFonts w:hint="eastAsia" w:ascii="方正仿宋_GBK" w:hAnsi="宋体" w:eastAsia="方正仿宋_GBK" w:cs="宋体"/>
                <w:b/>
                <w:bCs/>
                <w:color w:val="000000"/>
                <w:kern w:val="0"/>
                <w:szCs w:val="21"/>
              </w:rPr>
              <w:t>1020</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619" w:type="dxa"/>
            <w:tcBorders>
              <w:top w:val="nil"/>
              <w:left w:val="nil"/>
              <w:bottom w:val="single" w:color="auto" w:sz="4" w:space="0"/>
              <w:right w:val="single" w:color="auto" w:sz="4" w:space="0"/>
            </w:tcBorders>
            <w:noWrap/>
            <w:vAlign w:val="bottom"/>
          </w:tcPr>
          <w:p>
            <w:pPr>
              <w:widowControl/>
              <w:spacing w:line="320" w:lineRule="exact"/>
              <w:jc w:val="left"/>
              <w:rPr>
                <w:rFonts w:ascii="宋体" w:hAnsi="宋体" w:cs="宋体"/>
                <w:color w:val="000000"/>
                <w:kern w:val="0"/>
                <w:sz w:val="22"/>
              </w:rPr>
            </w:pPr>
            <w:r>
              <w:rPr>
                <w:rFonts w:hint="eastAsia" w:ascii="宋体" w:hAnsi="宋体" w:cs="宋体"/>
                <w:color w:val="000000"/>
                <w:kern w:val="0"/>
                <w:sz w:val="22"/>
              </w:rPr>
              <w:t>　</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448" w:type="dxa"/>
            <w:gridSpan w:val="5"/>
            <w:tcBorders>
              <w:top w:val="single" w:color="auto" w:sz="4" w:space="0"/>
              <w:left w:val="single" w:color="auto" w:sz="4" w:space="0"/>
              <w:bottom w:val="single" w:color="auto" w:sz="4" w:space="0"/>
              <w:right w:val="single" w:color="000000" w:sz="4" w:space="0"/>
            </w:tcBorders>
            <w:shd w:val="clear" w:color="000000" w:fill="92D050"/>
            <w:noWrap/>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总学时数</w:t>
            </w:r>
          </w:p>
        </w:tc>
        <w:tc>
          <w:tcPr>
            <w:tcW w:w="664" w:type="dxa"/>
            <w:tcBorders>
              <w:top w:val="nil"/>
              <w:left w:val="nil"/>
              <w:bottom w:val="single" w:color="auto" w:sz="4" w:space="0"/>
              <w:right w:val="single" w:color="auto" w:sz="4" w:space="0"/>
            </w:tcBorders>
            <w:shd w:val="clear" w:color="000000" w:fill="92D050"/>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9" w:type="dxa"/>
            <w:tcBorders>
              <w:top w:val="nil"/>
              <w:left w:val="nil"/>
              <w:bottom w:val="single" w:color="auto" w:sz="4" w:space="0"/>
              <w:right w:val="single" w:color="auto" w:sz="4" w:space="0"/>
            </w:tcBorders>
            <w:shd w:val="clear" w:color="000000" w:fill="92D050"/>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3252</w:t>
            </w:r>
          </w:p>
        </w:tc>
        <w:tc>
          <w:tcPr>
            <w:tcW w:w="713" w:type="dxa"/>
            <w:tcBorders>
              <w:top w:val="nil"/>
              <w:left w:val="nil"/>
              <w:bottom w:val="single" w:color="auto" w:sz="4" w:space="0"/>
              <w:right w:val="single" w:color="auto" w:sz="4" w:space="0"/>
            </w:tcBorders>
            <w:shd w:val="clear" w:color="000000" w:fill="92D050"/>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1596</w:t>
            </w:r>
          </w:p>
        </w:tc>
        <w:tc>
          <w:tcPr>
            <w:tcW w:w="674" w:type="dxa"/>
            <w:tcBorders>
              <w:top w:val="nil"/>
              <w:left w:val="nil"/>
              <w:bottom w:val="single" w:color="auto" w:sz="4" w:space="0"/>
              <w:right w:val="single" w:color="auto" w:sz="4" w:space="0"/>
            </w:tcBorders>
            <w:shd w:val="clear" w:color="000000" w:fill="92D050"/>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1632</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30</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34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仿宋" w:hAnsi="仿宋" w:eastAsia="仿宋" w:cs="宋体"/>
                <w:color w:val="000000"/>
                <w:kern w:val="0"/>
                <w:szCs w:val="21"/>
              </w:rPr>
            </w:pPr>
            <w:r>
              <w:rPr>
                <w:rFonts w:hint="eastAsia" w:ascii="仿宋" w:hAnsi="仿宋" w:eastAsia="仿宋" w:cs="宋体"/>
                <w:color w:val="000000"/>
                <w:kern w:val="0"/>
                <w:szCs w:val="21"/>
              </w:rPr>
              <w:t>33</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448" w:type="dxa"/>
            <w:gridSpan w:val="5"/>
            <w:vMerge w:val="restart"/>
            <w:tcBorders>
              <w:top w:val="single" w:color="auto" w:sz="4" w:space="0"/>
              <w:left w:val="single" w:color="auto" w:sz="4" w:space="0"/>
              <w:bottom w:val="single" w:color="auto" w:sz="4" w:space="0"/>
              <w:right w:val="single" w:color="auto" w:sz="4" w:space="0"/>
            </w:tcBorders>
            <w:noWrap/>
            <w:vAlign w:val="center"/>
          </w:tcPr>
          <w:p>
            <w:pPr>
              <w:widowControl/>
              <w:spacing w:line="320" w:lineRule="exact"/>
              <w:jc w:val="left"/>
              <w:rPr>
                <w:rFonts w:ascii="方正仿宋_GBK" w:hAnsi="宋体" w:eastAsia="方正仿宋_GBK" w:cs="宋体"/>
                <w:color w:val="000000"/>
                <w:kern w:val="0"/>
                <w:szCs w:val="21"/>
              </w:rPr>
            </w:pPr>
            <w:r>
              <w:rPr>
                <w:rFonts w:hint="eastAsia" w:ascii="方正仿宋_GBK" w:hAnsi="宋体" w:eastAsia="方正仿宋_GBK" w:cs="宋体"/>
                <w:color w:val="000000"/>
                <w:kern w:val="0"/>
                <w:szCs w:val="21"/>
              </w:rPr>
              <w:t xml:space="preserve">毕业考试课程：1.护理学基础2.内科护理 3.外科护理 4.护理技能操作                              </w:t>
            </w:r>
          </w:p>
        </w:tc>
        <w:tc>
          <w:tcPr>
            <w:tcW w:w="2760" w:type="dxa"/>
            <w:gridSpan w:val="4"/>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每学期开课门次</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15</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14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14</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14</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448"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2760" w:type="dxa"/>
            <w:gridSpan w:val="4"/>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考试门次</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9</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8</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8</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r>
        <w:tblPrEx>
          <w:tblCellMar>
            <w:top w:w="0" w:type="dxa"/>
            <w:left w:w="108" w:type="dxa"/>
            <w:bottom w:w="0" w:type="dxa"/>
            <w:right w:w="108" w:type="dxa"/>
          </w:tblCellMar>
        </w:tblPrEx>
        <w:trPr>
          <w:jc w:val="center"/>
        </w:trPr>
        <w:tc>
          <w:tcPr>
            <w:tcW w:w="6448" w:type="dxa"/>
            <w:gridSpan w:val="5"/>
            <w:vMerge w:val="continue"/>
            <w:tcBorders>
              <w:top w:val="single" w:color="auto" w:sz="4" w:space="0"/>
              <w:left w:val="single" w:color="auto" w:sz="4" w:space="0"/>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Cs w:val="21"/>
              </w:rPr>
            </w:pPr>
          </w:p>
        </w:tc>
        <w:tc>
          <w:tcPr>
            <w:tcW w:w="2760" w:type="dxa"/>
            <w:gridSpan w:val="4"/>
            <w:tcBorders>
              <w:top w:val="single" w:color="auto" w:sz="4" w:space="0"/>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考查门次</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619" w:type="dxa"/>
            <w:tcBorders>
              <w:top w:val="nil"/>
              <w:left w:val="nil"/>
              <w:bottom w:val="single" w:color="auto" w:sz="4" w:space="0"/>
              <w:right w:val="single" w:color="auto" w:sz="4" w:space="0"/>
            </w:tcBorders>
            <w:noWrap w:val="0"/>
            <w:vAlign w:val="center"/>
          </w:tcPr>
          <w:p>
            <w:pPr>
              <w:widowControl/>
              <w:spacing w:line="320" w:lineRule="exact"/>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1111" w:type="dxa"/>
            <w:gridSpan w:val="2"/>
            <w:vMerge w:val="continue"/>
            <w:tcBorders>
              <w:top w:val="nil"/>
              <w:left w:val="nil"/>
              <w:bottom w:val="single" w:color="auto" w:sz="4" w:space="0"/>
              <w:right w:val="single" w:color="auto" w:sz="4" w:space="0"/>
            </w:tcBorders>
            <w:noWrap w:val="0"/>
            <w:vAlign w:val="center"/>
          </w:tcPr>
          <w:p>
            <w:pPr>
              <w:widowControl/>
              <w:spacing w:line="320" w:lineRule="exact"/>
              <w:jc w:val="left"/>
              <w:rPr>
                <w:rFonts w:ascii="方正仿宋_GBK" w:hAnsi="宋体" w:eastAsia="方正仿宋_GBK" w:cs="宋体"/>
                <w:color w:val="000000"/>
                <w:kern w:val="0"/>
                <w:sz w:val="24"/>
                <w:szCs w:val="24"/>
              </w:rPr>
            </w:pPr>
          </w:p>
        </w:tc>
      </w:tr>
    </w:tbl>
    <w:p>
      <w:pPr>
        <w:rPr>
          <w:color w:val="000000"/>
        </w:rPr>
      </w:pPr>
    </w:p>
    <w:p>
      <w:pPr>
        <w:spacing w:line="440" w:lineRule="exact"/>
        <w:ind w:firstLine="490" w:firstLineChars="200"/>
        <w:rPr>
          <w:rFonts w:ascii="方正仿宋_GBK" w:eastAsia="方正仿宋_GBK"/>
          <w:color w:val="000000"/>
          <w:sz w:val="24"/>
          <w:szCs w:val="24"/>
        </w:rPr>
      </w:pPr>
      <w:r>
        <w:rPr>
          <w:rFonts w:hint="eastAsia" w:ascii="方正仿宋_GBK" w:eastAsia="方正仿宋_GBK"/>
          <w:color w:val="000000"/>
          <w:sz w:val="24"/>
          <w:szCs w:val="24"/>
        </w:rPr>
        <w:t>注：</w:t>
      </w:r>
    </w:p>
    <w:p>
      <w:pPr>
        <w:spacing w:line="440" w:lineRule="exact"/>
        <w:ind w:firstLine="490" w:firstLineChars="200"/>
        <w:rPr>
          <w:rFonts w:ascii="方正仿宋_GBK" w:eastAsia="方正仿宋_GBK"/>
          <w:color w:val="000000"/>
          <w:sz w:val="24"/>
          <w:szCs w:val="24"/>
        </w:rPr>
        <w:sectPr>
          <w:pgSz w:w="16838" w:h="11906" w:orient="landscape"/>
          <w:pgMar w:top="1417" w:right="1417" w:bottom="1417" w:left="1417" w:header="851" w:footer="992" w:gutter="0"/>
          <w:cols w:space="720" w:num="1"/>
          <w:docGrid w:type="linesAndChars" w:linePitch="312" w:charSpace="1228"/>
        </w:sectPr>
      </w:pPr>
      <w:r>
        <w:rPr>
          <w:rFonts w:hint="eastAsia" w:ascii="方正仿宋_GBK" w:hAnsi="宋体" w:eastAsia="方正仿宋_GBK" w:cs="宋体"/>
          <w:b/>
          <w:color w:val="000000"/>
          <w:kern w:val="0"/>
          <w:sz w:val="24"/>
          <w:szCs w:val="24"/>
          <w:vertAlign w:val="superscript"/>
        </w:rPr>
        <w:t>1</w:t>
      </w:r>
      <w:r>
        <w:rPr>
          <w:rFonts w:hint="eastAsia" w:ascii="方正仿宋_GBK" w:hAnsi="宋体" w:eastAsia="方正仿宋_GBK" w:cs="宋体"/>
          <w:color w:val="000000"/>
          <w:kern w:val="0"/>
          <w:sz w:val="24"/>
          <w:szCs w:val="24"/>
        </w:rPr>
        <w:t>公共基础限定选修课4门，学生需选3门；</w:t>
      </w:r>
      <w:r>
        <w:rPr>
          <w:rFonts w:hint="eastAsia" w:ascii="方正仿宋_GBK" w:hAnsi="宋体" w:eastAsia="方正仿宋_GBK" w:cs="宋体"/>
          <w:b/>
          <w:color w:val="000000"/>
          <w:kern w:val="0"/>
          <w:sz w:val="24"/>
          <w:szCs w:val="24"/>
          <w:vertAlign w:val="superscript"/>
        </w:rPr>
        <w:t>2</w:t>
      </w:r>
      <w:r>
        <w:rPr>
          <w:rFonts w:hint="eastAsia" w:ascii="方正仿宋_GBK" w:hAnsi="宋体" w:eastAsia="方正仿宋_GBK" w:cs="宋体"/>
          <w:color w:val="000000"/>
          <w:kern w:val="0"/>
          <w:sz w:val="24"/>
          <w:szCs w:val="24"/>
        </w:rPr>
        <w:t>公共基础任意选修以专题讲座的形式开展，不计入总学时；</w:t>
      </w:r>
      <w:r>
        <w:rPr>
          <w:rFonts w:hint="eastAsia" w:ascii="方正仿宋_GBK" w:hAnsi="宋体" w:eastAsia="方正仿宋_GBK" w:cs="宋体"/>
          <w:b/>
          <w:color w:val="000000"/>
          <w:kern w:val="0"/>
          <w:sz w:val="24"/>
          <w:szCs w:val="24"/>
          <w:vertAlign w:val="superscript"/>
        </w:rPr>
        <w:t>3</w:t>
      </w:r>
      <w:r>
        <w:rPr>
          <w:rFonts w:hint="eastAsia" w:ascii="方正仿宋_GBK" w:hAnsi="宋体" w:eastAsia="方正仿宋_GBK" w:cs="宋体"/>
          <w:color w:val="000000"/>
          <w:kern w:val="0"/>
          <w:sz w:val="24"/>
          <w:szCs w:val="24"/>
        </w:rPr>
        <w:t>专业选修课程开设8门，学生需选修6门。</w:t>
      </w:r>
      <w:r>
        <w:rPr>
          <w:rFonts w:hint="eastAsia" w:ascii="方正仿宋_GBK" w:hAnsi="宋体" w:eastAsia="方正仿宋_GBK" w:cs="宋体"/>
          <w:b/>
          <w:color w:val="000000"/>
          <w:kern w:val="0"/>
          <w:sz w:val="24"/>
          <w:szCs w:val="24"/>
          <w:vertAlign w:val="superscript"/>
        </w:rPr>
        <w:t>4</w:t>
      </w:r>
      <w:r>
        <w:rPr>
          <w:rFonts w:hint="eastAsia" w:ascii="方正仿宋_GBK" w:hAnsi="宋体" w:eastAsia="方正仿宋_GBK" w:cs="宋体"/>
          <w:color w:val="000000"/>
          <w:kern w:val="0"/>
          <w:sz w:val="24"/>
          <w:szCs w:val="24"/>
        </w:rPr>
        <w:t>岗位实习8个月是依据《护士条例》要求安排。</w:t>
      </w:r>
    </w:p>
    <w:p>
      <w:pPr>
        <w:keepNext/>
        <w:keepLines/>
        <w:spacing w:line="520" w:lineRule="exact"/>
        <w:ind w:firstLine="643" w:firstLineChars="200"/>
        <w:rPr>
          <w:rFonts w:ascii="方正仿宋_GBK" w:hAnsi="方正仿宋_GBK" w:eastAsia="方正仿宋_GBK" w:cs="方正仿宋_GBK"/>
          <w:b/>
          <w:color w:val="000000"/>
          <w:kern w:val="44"/>
          <w:sz w:val="32"/>
          <w:szCs w:val="32"/>
        </w:rPr>
      </w:pPr>
      <w:bookmarkStart w:id="123" w:name="_Toc124405390"/>
      <w:bookmarkStart w:id="124" w:name="_Toc124370505"/>
      <w:bookmarkStart w:id="125" w:name="_Toc124436787"/>
      <w:bookmarkStart w:id="126" w:name="_Toc121436596"/>
      <w:bookmarkStart w:id="127" w:name="_Toc124436606"/>
      <w:bookmarkStart w:id="128" w:name="_Toc108031857"/>
      <w:bookmarkStart w:id="129" w:name="_Toc124436012"/>
      <w:bookmarkStart w:id="130" w:name="_Toc124436462"/>
      <w:r>
        <w:rPr>
          <w:rFonts w:hint="eastAsia" w:ascii="方正黑体_GBK" w:hAnsi="方正黑体_GBK" w:eastAsia="方正黑体_GBK" w:cs="方正黑体_GBK"/>
          <w:b/>
          <w:color w:val="000000"/>
          <w:kern w:val="44"/>
          <w:sz w:val="32"/>
          <w:szCs w:val="32"/>
        </w:rPr>
        <w:t>八、实施保障</w:t>
      </w:r>
      <w:bookmarkEnd w:id="123"/>
      <w:bookmarkEnd w:id="124"/>
      <w:bookmarkEnd w:id="125"/>
      <w:bookmarkEnd w:id="126"/>
      <w:bookmarkEnd w:id="127"/>
      <w:bookmarkEnd w:id="128"/>
      <w:bookmarkEnd w:id="129"/>
      <w:bookmarkEnd w:id="130"/>
    </w:p>
    <w:p>
      <w:pPr>
        <w:keepNext/>
        <w:keepLines/>
        <w:spacing w:line="520" w:lineRule="exact"/>
        <w:ind w:firstLine="643" w:firstLineChars="200"/>
        <w:rPr>
          <w:rFonts w:ascii="方正楷体_GBK" w:hAnsi="方正楷体_GBK" w:eastAsia="方正楷体_GBK" w:cs="方正楷体_GBK"/>
          <w:b/>
          <w:color w:val="000000"/>
          <w:sz w:val="32"/>
          <w:szCs w:val="32"/>
        </w:rPr>
      </w:pPr>
      <w:bookmarkStart w:id="131" w:name="_Toc124436463"/>
      <w:bookmarkStart w:id="132" w:name="_Toc124405391"/>
      <w:bookmarkStart w:id="133" w:name="_Toc124370506"/>
      <w:bookmarkStart w:id="134" w:name="_Toc124436788"/>
      <w:bookmarkStart w:id="135" w:name="_Toc108031858"/>
      <w:bookmarkStart w:id="136" w:name="_Toc124436607"/>
      <w:r>
        <w:rPr>
          <w:rFonts w:hint="eastAsia" w:ascii="方正楷体_GBK" w:hAnsi="方正楷体_GBK" w:eastAsia="方正楷体_GBK" w:cs="方正楷体_GBK"/>
          <w:b/>
          <w:color w:val="000000"/>
          <w:sz w:val="32"/>
          <w:szCs w:val="32"/>
        </w:rPr>
        <w:t>（一）师资队伍</w:t>
      </w:r>
      <w:bookmarkEnd w:id="131"/>
      <w:bookmarkEnd w:id="132"/>
      <w:bookmarkEnd w:id="133"/>
      <w:bookmarkEnd w:id="134"/>
      <w:bookmarkEnd w:id="135"/>
      <w:bookmarkEnd w:id="136"/>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本专业每年招生 900 人，在校生 2700 人，按照学生与教师比例 20：1配置专业教学团队。专业专任教师 142 人，兼职教师 22人、校内兼课教师 8人，兼职教师占专任教师总数的 17.44%；专业课教师 96 人，其中“双师型”教师 87 人，占专任专业课教师的90.63%。</w:t>
      </w:r>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高水平的师资队伍是专业教育教学质量的根本保证，建立和完善师资队伍建设长效机制。引进高学历人才，提高具有研究生以上学历或硕士以上学位人数所占比例。实施教师梯级培养工程，加强专业教学创新团队的培育工作，提升教师教育教学及研究能力。加强国际合作，选派教师外出学习国内外先进教育理念和专业技能。与企业合作搭建好教师成长的平台，按照教师专业发展的要求，完善教师行业实践管理机制，聘用行业企业资深骨干担任外聘教师，实现专业教学内容对接职业标准。各类教师工作职责见下表。</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6"/>
        <w:gridCol w:w="70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center"/>
          </w:tcPr>
          <w:p>
            <w:pPr>
              <w:spacing w:line="36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教师类别</w:t>
            </w:r>
          </w:p>
        </w:tc>
        <w:tc>
          <w:tcPr>
            <w:tcW w:w="7760" w:type="dxa"/>
            <w:noWrap w:val="0"/>
            <w:vAlign w:val="center"/>
          </w:tcPr>
          <w:p>
            <w:pPr>
              <w:spacing w:line="36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工作职责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top"/>
          </w:tcPr>
          <w:p>
            <w:pPr>
              <w:spacing w:line="34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专业带头人</w:t>
            </w:r>
          </w:p>
          <w:p>
            <w:pPr>
              <w:spacing w:line="34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（校内）</w:t>
            </w:r>
          </w:p>
        </w:tc>
        <w:tc>
          <w:tcPr>
            <w:tcW w:w="7760" w:type="dxa"/>
            <w:noWrap w:val="0"/>
            <w:vAlign w:val="top"/>
          </w:tcPr>
          <w:p>
            <w:pPr>
              <w:spacing w:line="34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负责护理专业建设，制定护理专业发展规划，组织实施人才培养方案，构建护理专业课程体系，带领团队进行“校企合作，课证融合”人才培养模式研究，探索模块化教学模式，指导培养团队成员。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top"/>
          </w:tcPr>
          <w:p>
            <w:pPr>
              <w:spacing w:line="34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专业带头人</w:t>
            </w:r>
          </w:p>
          <w:p>
            <w:pPr>
              <w:spacing w:line="34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（校外）</w:t>
            </w:r>
          </w:p>
        </w:tc>
        <w:tc>
          <w:tcPr>
            <w:tcW w:w="7760" w:type="dxa"/>
            <w:noWrap w:val="0"/>
            <w:vAlign w:val="top"/>
          </w:tcPr>
          <w:p>
            <w:pPr>
              <w:spacing w:line="34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负责护理专业建设，制定护理专业发展规划，组织实施人才培养方案，构建护理专业课程体系，带领团队进行实践教学改革，探索院校合作的具体形式。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top"/>
          </w:tcPr>
          <w:p>
            <w:pPr>
              <w:spacing w:line="34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骨干教师</w:t>
            </w:r>
          </w:p>
        </w:tc>
        <w:tc>
          <w:tcPr>
            <w:tcW w:w="7760" w:type="dxa"/>
            <w:noWrap w:val="0"/>
            <w:vAlign w:val="top"/>
          </w:tcPr>
          <w:p>
            <w:pPr>
              <w:spacing w:line="34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参与护理专业建设，积极进行课程建设，研究“校企合作，课证融合”人才培养模式的教法、学法，与团队成员一起进行教学课题研究。参与校内外实训基地建设规划与实施，指导团队青年教师教学。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26" w:type="dxa"/>
            <w:noWrap w:val="0"/>
            <w:vAlign w:val="top"/>
          </w:tcPr>
          <w:p>
            <w:pPr>
              <w:spacing w:line="340" w:lineRule="exact"/>
              <w:jc w:val="center"/>
              <w:rPr>
                <w:rFonts w:ascii="方正仿宋_GBK" w:hAnsi="方正仿宋_GBK" w:eastAsia="方正仿宋_GBK" w:cs="方正仿宋_GBK"/>
                <w:b/>
                <w:bCs/>
                <w:color w:val="000000"/>
                <w:sz w:val="24"/>
                <w:szCs w:val="24"/>
              </w:rPr>
            </w:pPr>
            <w:r>
              <w:rPr>
                <w:rFonts w:hint="eastAsia" w:ascii="方正仿宋_GBK" w:hAnsi="方正仿宋_GBK" w:eastAsia="方正仿宋_GBK" w:cs="方正仿宋_GBK"/>
                <w:b/>
                <w:bCs/>
                <w:color w:val="000000"/>
                <w:sz w:val="24"/>
                <w:szCs w:val="24"/>
              </w:rPr>
              <w:t>兼职教师</w:t>
            </w:r>
          </w:p>
        </w:tc>
        <w:tc>
          <w:tcPr>
            <w:tcW w:w="7760" w:type="dxa"/>
            <w:noWrap w:val="0"/>
            <w:vAlign w:val="top"/>
          </w:tcPr>
          <w:p>
            <w:pPr>
              <w:spacing w:line="34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参与护理专业建设，积极进行实践教学和见习、实习带教方法的改革，参与校内外实训基地建设规划与实施。与团队成员一起进行工学结合的课题研究。</w:t>
            </w:r>
          </w:p>
        </w:tc>
      </w:tr>
    </w:tbl>
    <w:p>
      <w:pPr>
        <w:spacing w:line="560" w:lineRule="exact"/>
        <w:ind w:firstLine="643" w:firstLineChars="200"/>
        <w:jc w:val="left"/>
        <w:rPr>
          <w:rFonts w:ascii="方正楷体_GBK" w:hAnsi="方正楷体_GBK" w:eastAsia="方正楷体_GBK" w:cs="方正楷体_GBK"/>
          <w:b/>
          <w:bCs/>
          <w:color w:val="000000"/>
          <w:sz w:val="32"/>
          <w:szCs w:val="32"/>
        </w:rPr>
      </w:pPr>
      <w:bookmarkStart w:id="137" w:name="_Toc124436608"/>
      <w:bookmarkStart w:id="138" w:name="_Toc108031859"/>
      <w:bookmarkStart w:id="139" w:name="_Toc124436464"/>
      <w:bookmarkStart w:id="140" w:name="_Toc124370507"/>
      <w:bookmarkStart w:id="141" w:name="_Toc124405392"/>
      <w:bookmarkStart w:id="142" w:name="_Toc124436789"/>
      <w:r>
        <w:rPr>
          <w:rFonts w:hint="eastAsia" w:ascii="方正楷体_GBK" w:hAnsi="方正楷体_GBK" w:eastAsia="方正楷体_GBK" w:cs="方正楷体_GBK"/>
          <w:b/>
          <w:bCs/>
          <w:color w:val="000000"/>
          <w:sz w:val="32"/>
          <w:szCs w:val="32"/>
        </w:rPr>
        <w:t>（二）教学设施</w:t>
      </w:r>
      <w:bookmarkEnd w:id="137"/>
      <w:bookmarkEnd w:id="138"/>
      <w:bookmarkEnd w:id="139"/>
      <w:bookmarkEnd w:id="140"/>
      <w:bookmarkEnd w:id="141"/>
      <w:bookmarkEnd w:id="142"/>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本专业配备校内实习实训室和校外实训实习基地。</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1.校内实习实训室</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按教育部印发《职业院校护理专业仪器设备装备规范》要求，本专业校内实习实训室包括基础护理、专项护理和拓展护理三类，其中专项护理包括健康评估、内科护理、外科护理、手术护理、急救技术、重症监护、妇产科护理和儿科护理八类实训室；拓展护理包括康复护理、老年护理、社区护理、精神科护理、母婴护理、护理礼仪和心理护理七类实训室，目前校内除无精神科护理技术实训室外，其余实训室均达到或超过教育部装备标准。今后在校内实训基地建设中，应加强精神科护理技术实训室建设，并进一步完善虚拟仿真实训系统，实现“智慧实训”。</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学校现有的基础护理及内科护理、外科护理、妇产科护理、儿科护理等专项护理实训室主要设施设备及数量见下表。</w:t>
      </w:r>
    </w:p>
    <w:p>
      <w:pPr>
        <w:spacing w:line="560" w:lineRule="exact"/>
        <w:ind w:firstLine="643" w:firstLineChars="200"/>
        <w:rPr>
          <w:rFonts w:ascii="方正仿宋_GBK" w:hAnsi="方正仿宋_GBK" w:eastAsia="方正仿宋_GBK" w:cs="方正仿宋_GBK"/>
          <w:b/>
          <w:bCs/>
          <w:color w:val="000000"/>
          <w:sz w:val="32"/>
          <w:szCs w:val="32"/>
        </w:rPr>
      </w:pPr>
      <w:r>
        <w:rPr>
          <w:rFonts w:hint="eastAsia" w:ascii="方正仿宋_GBK" w:hAnsi="方正仿宋_GBK" w:eastAsia="方正仿宋_GBK" w:cs="方正仿宋_GBK"/>
          <w:b/>
          <w:bCs/>
          <w:color w:val="000000"/>
          <w:sz w:val="32"/>
          <w:szCs w:val="32"/>
        </w:rPr>
        <w:t>（1）基础护理实训室设施设备</w:t>
      </w:r>
    </w:p>
    <w:tbl>
      <w:tblPr>
        <w:tblStyle w:val="6"/>
        <w:tblW w:w="8647" w:type="dxa"/>
        <w:tblInd w:w="392" w:type="dxa"/>
        <w:tblLayout w:type="fixed"/>
        <w:tblCellMar>
          <w:top w:w="0" w:type="dxa"/>
          <w:left w:w="108" w:type="dxa"/>
          <w:bottom w:w="0" w:type="dxa"/>
          <w:right w:w="108" w:type="dxa"/>
        </w:tblCellMar>
      </w:tblPr>
      <w:tblGrid>
        <w:gridCol w:w="916"/>
        <w:gridCol w:w="3195"/>
        <w:gridCol w:w="850"/>
        <w:gridCol w:w="1276"/>
        <w:gridCol w:w="2410"/>
      </w:tblGrid>
      <w:tr>
        <w:tblPrEx>
          <w:tblCellMar>
            <w:top w:w="0" w:type="dxa"/>
            <w:left w:w="108" w:type="dxa"/>
            <w:bottom w:w="0" w:type="dxa"/>
            <w:right w:w="108" w:type="dxa"/>
          </w:tblCellMar>
        </w:tblPrEx>
        <w:trPr>
          <w:trHeight w:val="625" w:hRule="atLeast"/>
        </w:trPr>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编号</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设备名称</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单位</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配置数量</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备注</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护士站</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1套/模拟病区</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多功能病床（配全套床上用品及床头柜、床旁椅等）</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张</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1张/4生组</w:t>
            </w:r>
          </w:p>
        </w:tc>
      </w:tr>
      <w:tr>
        <w:tblPrEx>
          <w:tblCellMar>
            <w:top w:w="0" w:type="dxa"/>
            <w:left w:w="108" w:type="dxa"/>
            <w:bottom w:w="0" w:type="dxa"/>
            <w:right w:w="108" w:type="dxa"/>
          </w:tblCellMar>
        </w:tblPrEx>
        <w:trPr>
          <w:trHeight w:val="448" w:hRule="atLeast"/>
        </w:trPr>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无菌技术操作用物</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4</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隔离技术用物</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5</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多功能护理人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6</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压疮仿真模型（I~IV期）</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7</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口腔护理牙模型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1套10生组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8</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洗胃模型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9</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女性导尿模型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10</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男性导尿模型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11</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灌肠与肛管排气训练仿真模型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12</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超声雾化器</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1套/5生组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13</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皮内注射模型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14</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上臂肌肉、皮下注射模型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15</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臀部肌肉注射模型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16</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静脉注射手臂模型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1具/4生组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17</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输液泵</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18</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静脉注射泵</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19</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抢救车</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辆</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2辆/示教室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20</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心肺复苏模拟人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3具/20生组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21</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全自动洗胃机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2台/示教室</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22</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电动吸引器</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1台/20生组</w:t>
            </w:r>
          </w:p>
        </w:tc>
      </w:tr>
      <w:tr>
        <w:tblPrEx>
          <w:tblCellMar>
            <w:top w:w="0" w:type="dxa"/>
            <w:left w:w="108" w:type="dxa"/>
            <w:bottom w:w="0" w:type="dxa"/>
            <w:right w:w="108" w:type="dxa"/>
          </w:tblCellMar>
        </w:tblPrEx>
        <w:tc>
          <w:tcPr>
            <w:tcW w:w="916"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23</w:t>
            </w:r>
          </w:p>
        </w:tc>
        <w:tc>
          <w:tcPr>
            <w:tcW w:w="3195"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给氧装置（全套）</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1套/20生组</w:t>
            </w:r>
          </w:p>
        </w:tc>
      </w:tr>
    </w:tbl>
    <w:p>
      <w:pPr>
        <w:spacing w:line="560" w:lineRule="exact"/>
        <w:ind w:firstLine="643" w:firstLineChars="200"/>
        <w:rPr>
          <w:rFonts w:ascii="方正仿宋_GBK" w:hAnsi="方正仿宋_GBK" w:eastAsia="方正仿宋_GBK" w:cs="方正仿宋_GBK"/>
          <w:b/>
          <w:bCs/>
          <w:color w:val="000000"/>
          <w:sz w:val="32"/>
          <w:szCs w:val="32"/>
        </w:rPr>
      </w:pPr>
      <w:r>
        <w:rPr>
          <w:rFonts w:hint="eastAsia" w:ascii="方正仿宋_GBK" w:hAnsi="方正仿宋_GBK" w:eastAsia="方正仿宋_GBK" w:cs="方正仿宋_GBK"/>
          <w:b/>
          <w:bCs/>
          <w:color w:val="000000"/>
          <w:sz w:val="32"/>
          <w:szCs w:val="32"/>
        </w:rPr>
        <w:t>（2）内科护理实训室设施设备</w:t>
      </w:r>
    </w:p>
    <w:tbl>
      <w:tblPr>
        <w:tblStyle w:val="6"/>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编号</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设备名称</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单位</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配置数量</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智能化胸腹部检查教学系统（教师机）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智能化胸腹部检查教学系统（学生机）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10套/实训室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人工呼吸机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4</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心电监护仪</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5</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心电图机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2台/实训室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6</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各种穿刺模拟人及穿刺包</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3套/20生组</w:t>
            </w:r>
          </w:p>
        </w:tc>
      </w:tr>
    </w:tbl>
    <w:p>
      <w:pPr>
        <w:spacing w:line="560" w:lineRule="exact"/>
        <w:ind w:firstLine="643" w:firstLineChars="200"/>
        <w:rPr>
          <w:rFonts w:ascii="方正仿宋_GBK" w:hAnsi="方正仿宋_GBK" w:eastAsia="方正仿宋_GBK" w:cs="方正仿宋_GBK"/>
          <w:b/>
          <w:bCs/>
          <w:color w:val="000000"/>
          <w:sz w:val="32"/>
          <w:szCs w:val="32"/>
        </w:rPr>
      </w:pPr>
      <w:r>
        <w:rPr>
          <w:rFonts w:hint="eastAsia" w:ascii="方正仿宋_GBK" w:hAnsi="方正仿宋_GBK" w:eastAsia="方正仿宋_GBK" w:cs="方正仿宋_GBK"/>
          <w:b/>
          <w:bCs/>
          <w:color w:val="000000"/>
          <w:sz w:val="32"/>
          <w:szCs w:val="32"/>
        </w:rPr>
        <w:t>（3）外科护理实训室设施设备</w:t>
      </w:r>
    </w:p>
    <w:tbl>
      <w:tblPr>
        <w:tblStyle w:val="6"/>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编号</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设备名称</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单位</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配置数量</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多功能创伤护理模型病人</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2具/示教室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局部创伤模型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换药车</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4</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闭式引流拔管换药模型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5</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气管切开护理模型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3套/20生组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6</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瘘管造口术护理仿真模型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3具/20生组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7</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胃肠减压器</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个</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1个/2生组</w:t>
            </w:r>
          </w:p>
        </w:tc>
      </w:tr>
    </w:tbl>
    <w:p>
      <w:pPr>
        <w:spacing w:line="560" w:lineRule="exact"/>
        <w:ind w:firstLine="643" w:firstLineChars="200"/>
        <w:rPr>
          <w:rFonts w:ascii="方正仿宋_GBK" w:hAnsi="方正仿宋_GBK" w:eastAsia="方正仿宋_GBK" w:cs="方正仿宋_GBK"/>
          <w:b/>
          <w:bCs/>
          <w:color w:val="000000"/>
          <w:sz w:val="32"/>
          <w:szCs w:val="32"/>
        </w:rPr>
      </w:pPr>
      <w:r>
        <w:rPr>
          <w:rFonts w:hint="eastAsia" w:ascii="方正仿宋_GBK" w:hAnsi="方正仿宋_GBK" w:eastAsia="方正仿宋_GBK" w:cs="方正仿宋_GBK"/>
          <w:b/>
          <w:bCs/>
          <w:color w:val="000000"/>
          <w:sz w:val="32"/>
          <w:szCs w:val="32"/>
        </w:rPr>
        <w:t>（4）妇产科护理实训室设施设备</w:t>
      </w:r>
    </w:p>
    <w:tbl>
      <w:tblPr>
        <w:tblStyle w:val="6"/>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编号</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设备名称</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单位</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配置数量</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女性骨盆模型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女性骨盆附生殖器官模型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1套/5生组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高级电脑孕妇检查模型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4</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多普勒胎心监护仪</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5</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胎心监护仪</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1台/20生组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6</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分娩机制示教模型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7</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高级会阴切开缝合技能训练模型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8</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新生儿脐带处理模型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1套/10生组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9</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高级分娩与母子急救模型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10</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妇科检查模型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1套/10生组</w:t>
            </w:r>
          </w:p>
        </w:tc>
      </w:tr>
    </w:tbl>
    <w:p>
      <w:pPr>
        <w:spacing w:line="560" w:lineRule="exact"/>
        <w:ind w:firstLine="643" w:firstLineChars="200"/>
        <w:rPr>
          <w:rFonts w:ascii="方正仿宋_GBK" w:hAnsi="方正仿宋_GBK" w:eastAsia="方正仿宋_GBK" w:cs="方正仿宋_GBK"/>
          <w:b/>
          <w:bCs/>
          <w:color w:val="000000"/>
          <w:sz w:val="32"/>
          <w:szCs w:val="32"/>
        </w:rPr>
      </w:pPr>
      <w:r>
        <w:rPr>
          <w:rFonts w:hint="eastAsia" w:ascii="方正仿宋_GBK" w:hAnsi="方正仿宋_GBK" w:eastAsia="方正仿宋_GBK" w:cs="方正仿宋_GBK"/>
          <w:b/>
          <w:bCs/>
          <w:color w:val="000000"/>
          <w:sz w:val="32"/>
          <w:szCs w:val="32"/>
        </w:rPr>
        <w:t>（5）儿科护理实训室设施设备</w:t>
      </w:r>
    </w:p>
    <w:tbl>
      <w:tblPr>
        <w:tblStyle w:val="6"/>
        <w:tblW w:w="8647" w:type="dxa"/>
        <w:tblInd w:w="392" w:type="dxa"/>
        <w:tblLayout w:type="fixed"/>
        <w:tblCellMar>
          <w:top w:w="0" w:type="dxa"/>
          <w:left w:w="108" w:type="dxa"/>
          <w:bottom w:w="0" w:type="dxa"/>
          <w:right w:w="108" w:type="dxa"/>
        </w:tblCellMar>
      </w:tblPr>
      <w:tblGrid>
        <w:gridCol w:w="850"/>
        <w:gridCol w:w="3261"/>
        <w:gridCol w:w="850"/>
        <w:gridCol w:w="1276"/>
        <w:gridCol w:w="2410"/>
      </w:tblGrid>
      <w:tr>
        <w:tblPrEx>
          <w:tblCellMar>
            <w:top w:w="0" w:type="dxa"/>
            <w:left w:w="108" w:type="dxa"/>
            <w:bottom w:w="0" w:type="dxa"/>
            <w:right w:w="108" w:type="dxa"/>
          </w:tblCellMar>
        </w:tblPrEx>
        <w:trPr>
          <w:trHeight w:val="625"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编号</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设备名称</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单位</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配置数量</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备注</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高级婴儿护理模型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具</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1具/4生组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新生儿沐浴设备及用物</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3</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婴儿护理模型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个</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1个/4生组</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4</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红外线灯或鹅颈灯</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台</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2台/示教室</w:t>
            </w:r>
          </w:p>
        </w:tc>
      </w:tr>
      <w:tr>
        <w:tblPrEx>
          <w:tblCellMar>
            <w:top w:w="0" w:type="dxa"/>
            <w:left w:w="108" w:type="dxa"/>
            <w:bottom w:w="0" w:type="dxa"/>
            <w:right w:w="108" w:type="dxa"/>
          </w:tblCellMar>
        </w:tblPrEx>
        <w:trPr>
          <w:trHeight w:val="448" w:hRule="atLeast"/>
        </w:trPr>
        <w:tc>
          <w:tcPr>
            <w:tcW w:w="850" w:type="dxa"/>
            <w:tcBorders>
              <w:top w:val="single" w:color="auto" w:sz="4" w:space="0"/>
              <w:left w:val="single" w:color="auto" w:sz="4" w:space="0"/>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5</w:t>
            </w:r>
          </w:p>
        </w:tc>
        <w:tc>
          <w:tcPr>
            <w:tcW w:w="3261"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高级婴儿头部综合静脉穿刺模型</w:t>
            </w:r>
          </w:p>
        </w:tc>
        <w:tc>
          <w:tcPr>
            <w:tcW w:w="85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套</w:t>
            </w:r>
          </w:p>
        </w:tc>
        <w:tc>
          <w:tcPr>
            <w:tcW w:w="1276"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若干</w:t>
            </w:r>
          </w:p>
        </w:tc>
        <w:tc>
          <w:tcPr>
            <w:tcW w:w="2410" w:type="dxa"/>
            <w:tcBorders>
              <w:top w:val="single" w:color="auto" w:sz="4" w:space="0"/>
              <w:left w:val="nil"/>
              <w:bottom w:val="single" w:color="auto" w:sz="4" w:space="0"/>
              <w:right w:val="single" w:color="auto" w:sz="4" w:space="0"/>
            </w:tcBorders>
            <w:noWrap w:val="0"/>
            <w:vAlign w:val="center"/>
          </w:tcPr>
          <w:p>
            <w:pPr>
              <w:spacing w:line="360" w:lineRule="exact"/>
              <w:rPr>
                <w:rFonts w:ascii="方正仿宋_GBK" w:hAnsi="方正仿宋_GBK" w:eastAsia="方正仿宋_GBK" w:cs="方正仿宋_GBK"/>
                <w:bCs/>
                <w:color w:val="000000"/>
                <w:sz w:val="24"/>
                <w:szCs w:val="24"/>
              </w:rPr>
            </w:pPr>
            <w:r>
              <w:rPr>
                <w:rFonts w:hint="eastAsia" w:ascii="方正仿宋_GBK" w:hAnsi="方正仿宋_GBK" w:eastAsia="方正仿宋_GBK" w:cs="方正仿宋_GBK"/>
                <w:bCs/>
                <w:color w:val="000000"/>
                <w:sz w:val="24"/>
                <w:szCs w:val="24"/>
              </w:rPr>
              <w:t>1套/4生组</w:t>
            </w:r>
          </w:p>
        </w:tc>
      </w:tr>
    </w:tbl>
    <w:p>
      <w:pPr>
        <w:tabs>
          <w:tab w:val="center" w:pos="4153"/>
        </w:tabs>
        <w:spacing w:line="560" w:lineRule="exact"/>
        <w:ind w:firstLine="635" w:firstLineChars="200"/>
        <w:jc w:val="left"/>
        <w:rPr>
          <w:rFonts w:ascii="方正仿宋_GBK" w:hAnsi="方正仿宋_GBK" w:eastAsia="方正仿宋_GBK" w:cs="方正仿宋_GBK"/>
          <w:b/>
          <w:bCs/>
          <w:color w:val="000000"/>
          <w:spacing w:val="-2"/>
          <w:kern w:val="0"/>
          <w:sz w:val="32"/>
          <w:szCs w:val="32"/>
        </w:rPr>
      </w:pPr>
    </w:p>
    <w:p>
      <w:pPr>
        <w:tabs>
          <w:tab w:val="center" w:pos="4153"/>
        </w:tabs>
        <w:spacing w:line="560" w:lineRule="exact"/>
        <w:ind w:firstLine="635" w:firstLineChars="200"/>
        <w:jc w:val="left"/>
        <w:rPr>
          <w:rFonts w:ascii="方正仿宋_GBK" w:hAnsi="方正仿宋_GBK" w:eastAsia="方正仿宋_GBK" w:cs="方正仿宋_GBK"/>
          <w:b/>
          <w:bCs/>
          <w:color w:val="000000"/>
          <w:spacing w:val="-2"/>
          <w:kern w:val="0"/>
          <w:sz w:val="32"/>
          <w:szCs w:val="32"/>
        </w:rPr>
      </w:pPr>
      <w:r>
        <w:rPr>
          <w:rFonts w:hint="eastAsia" w:ascii="方正仿宋_GBK" w:hAnsi="方正仿宋_GBK" w:eastAsia="方正仿宋_GBK" w:cs="方正仿宋_GBK"/>
          <w:b/>
          <w:bCs/>
          <w:color w:val="000000"/>
          <w:spacing w:val="-2"/>
          <w:kern w:val="0"/>
          <w:sz w:val="32"/>
          <w:szCs w:val="32"/>
        </w:rPr>
        <w:t>2.校外实训实习基地</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学校有附属医院一所，建院近 50 年，建筑面积 1 万余平方，开放床位 60 张，是城乡居民医保和城镇职工医保定点医院、工伤医疗民政救助定点医院、高考体检指定医院，是学校教师行业实践基地和学生岗位实习和见习基地。通过建立医教结合管理机制，整合场地、人员、设施等资源，实施教学内容与临床标准一体化，教学过程与临床过程一体化，教学场所与医院病房一体化，学生与实习护士、医生一体化，教师与护士、医生一体化，实现了 “学做合一、生产与实训合一、教学与医疗服务合一”。学校实行的“医教结合，五维一体”护理专业人才培养模式获评省级教学成果二等奖。</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本专业现有其他校外实训实习基地 39 家，其中在青海西宁有 2 家，承担青海藏区护理专业学生顶岗实习。学校积极与校外实习基地合作探索校企合作多种有效模式。包括专业、课程共建，员工教师双向培养，学生专业能力共育等。学校实习工作严格执行《职业学校学生实习管理规定》，强化以育人为目标的实习过程管理和考核评价，完善学生实习责任保险、信息通报等安全制度，根据实训项目内容和见习、实习学生数量选聘实习带教教师，原则上一名教师带教学生不超过 2 人。</w:t>
      </w:r>
    </w:p>
    <w:p>
      <w:pPr>
        <w:keepNext/>
        <w:keepLines/>
        <w:spacing w:line="560" w:lineRule="exact"/>
        <w:ind w:firstLine="643" w:firstLineChars="200"/>
        <w:rPr>
          <w:rFonts w:ascii="方正楷体_GBK" w:hAnsi="方正楷体_GBK" w:eastAsia="方正楷体_GBK" w:cs="方正楷体_GBK"/>
          <w:b/>
          <w:bCs/>
          <w:color w:val="000000"/>
          <w:sz w:val="32"/>
          <w:szCs w:val="32"/>
        </w:rPr>
      </w:pPr>
      <w:bookmarkStart w:id="143" w:name="_Toc124436790"/>
      <w:bookmarkStart w:id="144" w:name="_Toc124436465"/>
      <w:bookmarkStart w:id="145" w:name="_Toc124405393"/>
      <w:bookmarkStart w:id="146" w:name="_Toc124370508"/>
      <w:bookmarkStart w:id="147" w:name="_Toc108031860"/>
      <w:bookmarkStart w:id="148" w:name="_Toc124436609"/>
      <w:r>
        <w:rPr>
          <w:rFonts w:hint="eastAsia" w:ascii="方正楷体_GBK" w:hAnsi="方正楷体_GBK" w:eastAsia="方正楷体_GBK" w:cs="方正楷体_GBK"/>
          <w:b/>
          <w:bCs/>
          <w:color w:val="000000"/>
          <w:sz w:val="32"/>
          <w:szCs w:val="32"/>
        </w:rPr>
        <w:t>（三）教学资源</w:t>
      </w:r>
      <w:bookmarkEnd w:id="143"/>
      <w:bookmarkEnd w:id="144"/>
      <w:bookmarkEnd w:id="145"/>
      <w:bookmarkEnd w:id="146"/>
      <w:bookmarkEnd w:id="147"/>
      <w:bookmarkEnd w:id="148"/>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1.教材开发及使用要求</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教材的开发和使用严格执行教育部《职业院校教材管理办法》和学校《教材选用与管理制度》，思想政治、语文、历史三科，必须使用国家统编教材，公共基础必修课教材须在国务院教育行政部门发布的国家规划教材目录中选用，专业核心课程教材原则上从国家和市教育行政部门发布的规划教材目录中选用。教材选用申请需最终交学校教材选用委员会审核，教务科应将当年教材选用情况汇总后报区教委备案。学校鼓励和支持专业部和各教研组按照模块化教学的要求及老年照护、母婴护理、幼儿照护 1+X 证书的要求，编写活页式、工作手册式校本教材。</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2.图书资料和数字资源配备</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学校图书馆有纸质图书 11.62 万册，电子图书 10 万册，开通中国知网数据库，满足学生专业发展和素质发展需要。共建共享全国护理专业精品课程资源平台，有精品网络课程（《基础护理》《内科护理》《外科护理》《妇产科护理》《儿科护理》），有数字化解剖互动教学平台、数字化急救训练及考核系统、OSCE 标准化考站、执业护士资格模拟考试系统、七天网络阅卷系统，钉钉班级管理平台、学习通教学平台、希沃易+平台等，满足师生线上教学、线上线下混合式教学需要。</w:t>
      </w:r>
    </w:p>
    <w:p>
      <w:pPr>
        <w:keepNext/>
        <w:keepLines/>
        <w:spacing w:line="560" w:lineRule="exact"/>
        <w:ind w:firstLine="643" w:firstLineChars="200"/>
        <w:rPr>
          <w:rFonts w:ascii="方正楷体_GBK" w:hAnsi="方正楷体_GBK" w:eastAsia="方正楷体_GBK" w:cs="方正楷体_GBK"/>
          <w:b/>
          <w:bCs/>
          <w:color w:val="000000"/>
          <w:sz w:val="32"/>
          <w:szCs w:val="32"/>
        </w:rPr>
      </w:pPr>
      <w:bookmarkStart w:id="149" w:name="_Toc124370509"/>
      <w:bookmarkStart w:id="150" w:name="_Toc124436466"/>
      <w:bookmarkStart w:id="151" w:name="_Toc124405394"/>
      <w:bookmarkStart w:id="152" w:name="_Toc124436791"/>
      <w:bookmarkStart w:id="153" w:name="_Toc108031861"/>
      <w:bookmarkStart w:id="154" w:name="_Toc124436610"/>
      <w:r>
        <w:rPr>
          <w:rFonts w:hint="eastAsia" w:ascii="方正楷体_GBK" w:hAnsi="方正楷体_GBK" w:eastAsia="方正楷体_GBK" w:cs="方正楷体_GBK"/>
          <w:b/>
          <w:bCs/>
          <w:color w:val="000000"/>
          <w:sz w:val="32"/>
          <w:szCs w:val="32"/>
        </w:rPr>
        <w:t>（四）教学方法</w:t>
      </w:r>
      <w:bookmarkEnd w:id="149"/>
      <w:bookmarkEnd w:id="150"/>
      <w:bookmarkEnd w:id="151"/>
      <w:bookmarkEnd w:id="152"/>
      <w:bookmarkEnd w:id="153"/>
      <w:bookmarkEnd w:id="154"/>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1.文化素养与专业基础课</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文化素养课与职业基础课旨在培养学生科学文化素养和医学基础知识，服务学生专业学习和终身发展。将“仁道”为核心理念的人文关怀贯穿到整个教学过程。注重充分调动学生学习积极性，在教学组织形式、教学手段等方面开展改革与创新，探索适合中职学生思维和学习习惯的教学方法，提高学生学习兴趣，为学生综合素质的提高、职业能力的形成和可持续发展奠定基础。</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2.专业（技能）课</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结合护理专业人才培养特点和专业能力素质要求，梳理专业课程的思想政治教育元素，发挥专业课程承载的思想政治教育功能，推动专业课教学与思想政治理论课教学紧密结合，同向同行。</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专业课按照医院、社区、养老等护理相应职业岗位群的能力要求，强化基础护理、专科护理、病房管理、社区护理、老年护理、健康指导等工作岗位的能力培养要素。突出“做中学、做中教”的职业教育教学特色，提倡项目教学、情境教学、案例教学、模块化教学、角色扮演等教学方式，运用启发式、探究式、讨论式、参与式等教学方法，推广翻转教学、混合式教学、理实一体教学等新型教学模式，加强课堂教学管理，规范教学秩序，打造优质课堂。</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基础课和专业（技能）课教学，要适应“互联网+职业教育”新要求，全面提升教师信息技术应用能力，推动大数据、人工智能、虚拟现实等现代信息技术在教育教学中的广泛应用，推动教师在教育理念、教学观念、教学内容、教学方法等方面的改变。学校需加快建设智能化教学支持环境，建设能够满足学生多样化需求的课程资源，以服务学生终身学习。</w:t>
      </w:r>
    </w:p>
    <w:p>
      <w:pPr>
        <w:keepNext/>
        <w:keepLines/>
        <w:spacing w:line="560" w:lineRule="exact"/>
        <w:ind w:firstLine="643" w:firstLineChars="200"/>
        <w:rPr>
          <w:rFonts w:ascii="方正仿宋_GBK" w:hAnsi="方正仿宋_GBK" w:eastAsia="方正仿宋_GBK" w:cs="方正仿宋_GBK"/>
          <w:b/>
          <w:bCs/>
          <w:color w:val="000000"/>
          <w:sz w:val="32"/>
          <w:szCs w:val="32"/>
        </w:rPr>
      </w:pPr>
      <w:bookmarkStart w:id="155" w:name="_Toc124405395"/>
      <w:bookmarkStart w:id="156" w:name="_Toc124436792"/>
      <w:bookmarkStart w:id="157" w:name="_Toc124370510"/>
      <w:bookmarkStart w:id="158" w:name="_Toc108031862"/>
      <w:bookmarkStart w:id="159" w:name="_Toc124436467"/>
      <w:bookmarkStart w:id="160" w:name="_Toc124436611"/>
      <w:r>
        <w:rPr>
          <w:rFonts w:hint="eastAsia" w:ascii="方正楷体_GBK" w:hAnsi="方正楷体_GBK" w:eastAsia="方正楷体_GBK" w:cs="方正楷体_GBK"/>
          <w:b/>
          <w:bCs/>
          <w:color w:val="000000"/>
          <w:sz w:val="32"/>
          <w:szCs w:val="32"/>
        </w:rPr>
        <w:t>（五）学习评价</w:t>
      </w:r>
      <w:bookmarkEnd w:id="155"/>
      <w:bookmarkEnd w:id="156"/>
      <w:bookmarkEnd w:id="157"/>
      <w:bookmarkEnd w:id="158"/>
      <w:bookmarkEnd w:id="159"/>
      <w:bookmarkEnd w:id="160"/>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根据本专业培养目标，建立以学生职业素养、岗位能力培养为核心，教育与产业、校内与校外相结合的科学评价标准。评价环节包括对教学过程中教师、学生、教学内容、教学方法、教学手段、教学环境、教学管理等因素的评价，强化对学生学习效果和教师教学过程的评价。采用多层次、多元化的考评方法，引导学生全面提升和个性发展。</w:t>
      </w:r>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教学评价体现评价主体、评价方式、评价过程的多元化，注意吸收学生家长、行业企业专家、优秀毕业生参与。校内、校外评价相结合，执业护士资格考试、1+X 职业技能等级证书考试与学业考核相结合，教师评价、学生互评与自我评价结合，过程性评价与结果性评价结合。既要关注学生对必需知识的理解和岗位技能的掌握，更要关注相关知识在解决岗位工作中实际问题的能力水平，重视岗位规范操作、安全文明生产等职业素质的形成，以及节约能源、节省原材料与爱护岗位设备，保护环境等意识与观念的树立。</w:t>
      </w:r>
    </w:p>
    <w:p>
      <w:pPr>
        <w:keepNext/>
        <w:keepLines/>
        <w:spacing w:line="560" w:lineRule="exact"/>
        <w:ind w:firstLine="643" w:firstLineChars="200"/>
        <w:rPr>
          <w:rFonts w:ascii="方正楷体_GBK" w:hAnsi="方正楷体_GBK" w:eastAsia="方正楷体_GBK" w:cs="方正楷体_GBK"/>
          <w:b/>
          <w:bCs/>
          <w:color w:val="000000"/>
          <w:sz w:val="32"/>
          <w:szCs w:val="32"/>
        </w:rPr>
      </w:pPr>
      <w:bookmarkStart w:id="161" w:name="_Toc124405396"/>
      <w:bookmarkStart w:id="162" w:name="_Toc124436468"/>
      <w:bookmarkStart w:id="163" w:name="_Toc108031863"/>
      <w:bookmarkStart w:id="164" w:name="_Toc124370511"/>
      <w:bookmarkStart w:id="165" w:name="_Toc124436612"/>
      <w:bookmarkStart w:id="166" w:name="_Toc124436793"/>
      <w:r>
        <w:rPr>
          <w:rFonts w:hint="eastAsia" w:ascii="方正楷体_GBK" w:hAnsi="方正楷体_GBK" w:eastAsia="方正楷体_GBK" w:cs="方正楷体_GBK"/>
          <w:b/>
          <w:bCs/>
          <w:color w:val="000000"/>
          <w:sz w:val="32"/>
          <w:szCs w:val="32"/>
        </w:rPr>
        <w:t>（六）质量管理</w:t>
      </w:r>
      <w:bookmarkEnd w:id="161"/>
      <w:bookmarkEnd w:id="162"/>
      <w:bookmarkEnd w:id="163"/>
      <w:bookmarkEnd w:id="164"/>
      <w:bookmarkEnd w:id="165"/>
      <w:bookmarkEnd w:id="166"/>
    </w:p>
    <w:p>
      <w:pPr>
        <w:spacing w:line="56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健全护理专业人才培养方案实施情况的评价、反馈和改进机制，以保障和提高教学质量为目标，统筹考虑影响教学质量的各主要因素，结合教学诊断与改进、质量年报等自主保证人才培养质量的工作，统筹管理学校各部门、各环节的教学质量管理活动，形成任务、职责、权限明确，相互协调、相互促进的质量管理有机整体。专业教学质量监控体系见下表。</w:t>
      </w:r>
    </w:p>
    <w:p>
      <w:pPr>
        <w:pStyle w:val="2"/>
        <w:rPr>
          <w:color w:val="000000"/>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66"/>
        <w:gridCol w:w="1823"/>
        <w:gridCol w:w="3243"/>
        <w:gridCol w:w="17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top"/>
          </w:tcPr>
          <w:p>
            <w:pPr>
              <w:spacing w:line="360" w:lineRule="auto"/>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监控环节</w:t>
            </w:r>
          </w:p>
        </w:tc>
        <w:tc>
          <w:tcPr>
            <w:tcW w:w="1985" w:type="dxa"/>
            <w:noWrap w:val="0"/>
            <w:vAlign w:val="top"/>
          </w:tcPr>
          <w:p>
            <w:pPr>
              <w:spacing w:line="360" w:lineRule="auto"/>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监控点</w:t>
            </w:r>
          </w:p>
        </w:tc>
        <w:tc>
          <w:tcPr>
            <w:tcW w:w="3544" w:type="dxa"/>
            <w:noWrap w:val="0"/>
            <w:vAlign w:val="top"/>
          </w:tcPr>
          <w:p>
            <w:pPr>
              <w:spacing w:line="360" w:lineRule="auto"/>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监控方法与手段</w:t>
            </w:r>
          </w:p>
        </w:tc>
        <w:tc>
          <w:tcPr>
            <w:tcW w:w="1948" w:type="dxa"/>
            <w:noWrap w:val="0"/>
            <w:vAlign w:val="top"/>
          </w:tcPr>
          <w:p>
            <w:pPr>
              <w:spacing w:line="360" w:lineRule="auto"/>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监控人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top"/>
          </w:tcPr>
          <w:p>
            <w:pPr>
              <w:spacing w:line="360" w:lineRule="exact"/>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课堂教学</w:t>
            </w:r>
          </w:p>
        </w:tc>
        <w:tc>
          <w:tcPr>
            <w:tcW w:w="1985"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教学文件</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课堂教学</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中期考试</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期末考试</w:t>
            </w:r>
          </w:p>
        </w:tc>
        <w:tc>
          <w:tcPr>
            <w:tcW w:w="3544"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常规教学检查</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随机听课</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学生作业</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实训室使用记录</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实践技能考核</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课程考核、期末试卷及试卷分析</w:t>
            </w:r>
          </w:p>
        </w:tc>
        <w:tc>
          <w:tcPr>
            <w:tcW w:w="1948"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教务科</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教研督导室</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护理专业部</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top"/>
          </w:tcPr>
          <w:p>
            <w:pPr>
              <w:spacing w:line="360" w:lineRule="exact"/>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教学见习</w:t>
            </w:r>
          </w:p>
        </w:tc>
        <w:tc>
          <w:tcPr>
            <w:tcW w:w="1985"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教学见习文件</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见习教学</w:t>
            </w:r>
          </w:p>
        </w:tc>
        <w:tc>
          <w:tcPr>
            <w:tcW w:w="3544"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常规教学检查</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教学见习记录</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学生教学见习报告</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学生反馈、教学评价</w:t>
            </w:r>
          </w:p>
        </w:tc>
        <w:tc>
          <w:tcPr>
            <w:tcW w:w="1948"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医院护理部</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专业指导委员会</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教学管理委员会</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护理专业部</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各教研组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9" w:type="dxa"/>
            <w:noWrap w:val="0"/>
            <w:vAlign w:val="top"/>
          </w:tcPr>
          <w:p>
            <w:pPr>
              <w:spacing w:line="360" w:lineRule="exact"/>
              <w:rPr>
                <w:rFonts w:ascii="方正仿宋_GBK" w:hAnsi="方正仿宋_GBK" w:eastAsia="方正仿宋_GBK" w:cs="方正仿宋_GBK"/>
                <w:b/>
                <w:color w:val="000000"/>
                <w:sz w:val="24"/>
                <w:szCs w:val="24"/>
              </w:rPr>
            </w:pPr>
            <w:r>
              <w:rPr>
                <w:rFonts w:hint="eastAsia" w:ascii="方正仿宋_GBK" w:hAnsi="方正仿宋_GBK" w:eastAsia="方正仿宋_GBK" w:cs="方正仿宋_GBK"/>
                <w:b/>
                <w:color w:val="000000"/>
                <w:sz w:val="24"/>
                <w:szCs w:val="24"/>
              </w:rPr>
              <w:t>顶岗实习</w:t>
            </w:r>
          </w:p>
        </w:tc>
        <w:tc>
          <w:tcPr>
            <w:tcW w:w="1985"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实践教学文件</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实习大纲</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教学查房</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实习带教</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出科考核</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毕业考试</w:t>
            </w:r>
          </w:p>
        </w:tc>
        <w:tc>
          <w:tcPr>
            <w:tcW w:w="3544"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常规教学检查</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教学查房记录、讲座记录、实习</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手册</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出科考核内容、成绩及分析</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毕业考试考核内容、成绩及分析</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学生反馈、教学评价</w:t>
            </w:r>
          </w:p>
        </w:tc>
        <w:tc>
          <w:tcPr>
            <w:tcW w:w="1948" w:type="dxa"/>
            <w:noWrap w:val="0"/>
            <w:vAlign w:val="top"/>
          </w:tcPr>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医院护理部</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实训科</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教务科</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教研督导室</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护理专业部</w:t>
            </w:r>
          </w:p>
          <w:p>
            <w:pPr>
              <w:spacing w:line="360" w:lineRule="exact"/>
              <w:rPr>
                <w:rFonts w:ascii="方正仿宋_GBK" w:hAnsi="方正仿宋_GBK" w:eastAsia="方正仿宋_GBK" w:cs="方正仿宋_GBK"/>
                <w:color w:val="000000"/>
                <w:sz w:val="24"/>
                <w:szCs w:val="24"/>
              </w:rPr>
            </w:pPr>
            <w:r>
              <w:rPr>
                <w:rFonts w:hint="eastAsia" w:ascii="方正仿宋_GBK" w:hAnsi="方正仿宋_GBK" w:eastAsia="方正仿宋_GBK" w:cs="方正仿宋_GBK"/>
                <w:color w:val="000000"/>
                <w:sz w:val="24"/>
                <w:szCs w:val="24"/>
              </w:rPr>
              <w:t>各教研组</w:t>
            </w:r>
          </w:p>
        </w:tc>
      </w:tr>
    </w:tbl>
    <w:p>
      <w:pPr>
        <w:spacing w:line="560" w:lineRule="exact"/>
        <w:ind w:firstLine="640" w:firstLineChars="200"/>
        <w:jc w:val="left"/>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完善毕业生跟踪反馈机制及社会评价机制，了解社会对学生知识、技能、职业素养的评价情况，跟踪学生毕业后的职业发展情况，为学校质量管理提供依据和建议。</w:t>
      </w:r>
    </w:p>
    <w:p>
      <w:pPr>
        <w:spacing w:line="560" w:lineRule="exact"/>
        <w:ind w:firstLine="640" w:firstLineChars="200"/>
        <w:jc w:val="left"/>
        <w:rPr>
          <w:rFonts w:ascii="方正仿宋_GBK" w:hAnsi="方正仿宋_GBK" w:eastAsia="方正仿宋_GBK" w:cs="方正仿宋_GBK"/>
          <w:b/>
          <w:bCs/>
          <w:color w:val="000000"/>
          <w:sz w:val="32"/>
          <w:szCs w:val="32"/>
        </w:rPr>
      </w:pPr>
      <w:r>
        <w:rPr>
          <w:rFonts w:hint="eastAsia" w:ascii="方正仿宋_GBK" w:hAnsi="方正仿宋_GBK" w:eastAsia="方正仿宋_GBK" w:cs="方正仿宋_GBK"/>
          <w:bCs/>
          <w:color w:val="000000"/>
          <w:sz w:val="32"/>
          <w:szCs w:val="32"/>
        </w:rPr>
        <w:t>探索人工智能等技术运用，了解和掌握师生课堂教学环节，让质量管理科学化、多样化。</w:t>
      </w:r>
      <w:r>
        <w:rPr>
          <w:rFonts w:hint="eastAsia" w:ascii="方正仿宋_GBK" w:hAnsi="方正仿宋_GBK" w:eastAsia="方正仿宋_GBK" w:cs="方正仿宋_GBK"/>
          <w:color w:val="000000"/>
          <w:sz w:val="32"/>
          <w:szCs w:val="32"/>
        </w:rPr>
        <w:t xml:space="preserve">                                                                                                                                                          </w:t>
      </w:r>
    </w:p>
    <w:p>
      <w:pPr>
        <w:keepNext/>
        <w:keepLines/>
        <w:spacing w:line="500" w:lineRule="exact"/>
        <w:ind w:firstLine="643" w:firstLineChars="200"/>
        <w:rPr>
          <w:rFonts w:ascii="方正黑体_GBK" w:hAnsi="方正黑体_GBK" w:eastAsia="方正黑体_GBK" w:cs="方正黑体_GBK"/>
          <w:b/>
          <w:bCs/>
          <w:color w:val="000000"/>
          <w:kern w:val="44"/>
          <w:sz w:val="32"/>
          <w:szCs w:val="32"/>
        </w:rPr>
      </w:pPr>
      <w:bookmarkStart w:id="167" w:name="_Toc124405397"/>
      <w:bookmarkStart w:id="168" w:name="_Toc124436613"/>
      <w:bookmarkStart w:id="169" w:name="_Toc108031864"/>
      <w:bookmarkStart w:id="170" w:name="_Toc124436794"/>
      <w:bookmarkStart w:id="171" w:name="_Toc124436469"/>
      <w:bookmarkStart w:id="172" w:name="_Toc124370512"/>
      <w:bookmarkStart w:id="173" w:name="_Toc124436013"/>
      <w:bookmarkStart w:id="174" w:name="_Toc121436597"/>
      <w:r>
        <w:rPr>
          <w:rFonts w:hint="eastAsia" w:ascii="方正黑体_GBK" w:hAnsi="方正黑体_GBK" w:eastAsia="方正黑体_GBK" w:cs="方正黑体_GBK"/>
          <w:b/>
          <w:color w:val="000000"/>
          <w:kern w:val="44"/>
          <w:sz w:val="32"/>
          <w:szCs w:val="32"/>
        </w:rPr>
        <w:t>九、毕业要求</w:t>
      </w:r>
      <w:bookmarkEnd w:id="167"/>
      <w:bookmarkEnd w:id="168"/>
      <w:bookmarkEnd w:id="169"/>
      <w:bookmarkEnd w:id="170"/>
      <w:bookmarkEnd w:id="171"/>
      <w:bookmarkEnd w:id="172"/>
      <w:bookmarkEnd w:id="173"/>
      <w:bookmarkEnd w:id="174"/>
    </w:p>
    <w:p>
      <w:pPr>
        <w:keepNext/>
        <w:keepLines/>
        <w:spacing w:line="500" w:lineRule="exact"/>
        <w:ind w:firstLine="643" w:firstLineChars="200"/>
        <w:rPr>
          <w:rFonts w:ascii="方正楷体_GBK" w:hAnsi="方正楷体_GBK" w:eastAsia="方正楷体_GBK" w:cs="方正楷体_GBK"/>
          <w:b/>
          <w:bCs/>
          <w:color w:val="000000"/>
          <w:sz w:val="32"/>
          <w:szCs w:val="32"/>
        </w:rPr>
      </w:pPr>
      <w:bookmarkStart w:id="175" w:name="_Toc124436795"/>
      <w:bookmarkStart w:id="176" w:name="_Toc124436470"/>
      <w:bookmarkStart w:id="177" w:name="_Toc108031865"/>
      <w:bookmarkStart w:id="178" w:name="_Toc124370513"/>
      <w:bookmarkStart w:id="179" w:name="_Toc124405398"/>
      <w:bookmarkStart w:id="180" w:name="_Toc124436614"/>
      <w:r>
        <w:rPr>
          <w:rFonts w:hint="eastAsia" w:ascii="方正楷体_GBK" w:hAnsi="方正楷体_GBK" w:eastAsia="方正楷体_GBK" w:cs="方正楷体_GBK"/>
          <w:b/>
          <w:bCs/>
          <w:color w:val="000000"/>
          <w:sz w:val="32"/>
          <w:szCs w:val="32"/>
        </w:rPr>
        <w:t>（一）学业考核要求</w:t>
      </w:r>
      <w:bookmarkEnd w:id="175"/>
      <w:bookmarkEnd w:id="176"/>
      <w:bookmarkEnd w:id="177"/>
      <w:bookmarkEnd w:id="178"/>
      <w:bookmarkEnd w:id="179"/>
      <w:bookmarkEnd w:id="180"/>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根据护理专业培养目标和培养规格，结合学校办学实际，明确对学生学业成绩、实践经历、综合素质等方面的考核要求、考核方式和考核标准，以及学生毕业时应完成的规定学时学分，有效促进毕业要求的达成度。</w:t>
      </w:r>
    </w:p>
    <w:p>
      <w:pPr>
        <w:keepNext/>
        <w:keepLines/>
        <w:spacing w:line="500" w:lineRule="exact"/>
        <w:ind w:firstLine="643" w:firstLineChars="200"/>
        <w:rPr>
          <w:rFonts w:ascii="方正楷体_GBK" w:hAnsi="方正楷体_GBK" w:eastAsia="方正楷体_GBK" w:cs="方正楷体_GBK"/>
          <w:b/>
          <w:bCs/>
          <w:color w:val="000000"/>
          <w:sz w:val="32"/>
          <w:szCs w:val="32"/>
        </w:rPr>
      </w:pPr>
      <w:bookmarkStart w:id="181" w:name="_Toc124436796"/>
      <w:bookmarkStart w:id="182" w:name="_Toc124370514"/>
      <w:bookmarkStart w:id="183" w:name="_Toc124436615"/>
      <w:bookmarkStart w:id="184" w:name="_Toc108031866"/>
      <w:bookmarkStart w:id="185" w:name="_Toc124405399"/>
      <w:bookmarkStart w:id="186" w:name="_Toc124436471"/>
      <w:r>
        <w:rPr>
          <w:rFonts w:hint="eastAsia" w:ascii="方正楷体_GBK" w:hAnsi="方正楷体_GBK" w:eastAsia="方正楷体_GBK" w:cs="方正楷体_GBK"/>
          <w:b/>
          <w:bCs/>
          <w:color w:val="000000"/>
          <w:sz w:val="32"/>
          <w:szCs w:val="32"/>
        </w:rPr>
        <w:t>（二）证书考取要求</w:t>
      </w:r>
      <w:bookmarkEnd w:id="181"/>
      <w:bookmarkEnd w:id="182"/>
      <w:bookmarkEnd w:id="183"/>
      <w:bookmarkEnd w:id="184"/>
      <w:bookmarkEnd w:id="185"/>
      <w:bookmarkEnd w:id="186"/>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根据职业岗位需求，对接可考取的国家护士执业资格证书和1+X 技能等级证书老年照护、母婴护理等职业资格技能等级证书，明确证书有关内容有机融入专业课程教学的途径、方法和要求。对获得上述资格证书和等级证书的学生，相关课程评定为合格。</w:t>
      </w:r>
    </w:p>
    <w:p>
      <w:pPr>
        <w:keepNext/>
        <w:keepLines/>
        <w:spacing w:line="500" w:lineRule="exact"/>
        <w:ind w:firstLine="643" w:firstLineChars="200"/>
        <w:rPr>
          <w:rFonts w:ascii="方正楷体_GBK" w:hAnsi="方正楷体_GBK" w:eastAsia="方正楷体_GBK" w:cs="方正楷体_GBK"/>
          <w:b/>
          <w:bCs/>
          <w:color w:val="000000"/>
          <w:sz w:val="32"/>
          <w:szCs w:val="32"/>
        </w:rPr>
      </w:pPr>
      <w:bookmarkStart w:id="187" w:name="_Toc124436472"/>
      <w:bookmarkStart w:id="188" w:name="_Toc124436616"/>
      <w:bookmarkStart w:id="189" w:name="_Toc124405400"/>
      <w:bookmarkStart w:id="190" w:name="_Toc124436797"/>
      <w:bookmarkStart w:id="191" w:name="_Toc124370515"/>
      <w:bookmarkStart w:id="192" w:name="_Toc108031867"/>
      <w:r>
        <w:rPr>
          <w:rFonts w:hint="eastAsia" w:ascii="方正楷体_GBK" w:hAnsi="方正楷体_GBK" w:eastAsia="方正楷体_GBK" w:cs="方正楷体_GBK"/>
          <w:b/>
          <w:bCs/>
          <w:color w:val="000000"/>
          <w:sz w:val="32"/>
          <w:szCs w:val="32"/>
        </w:rPr>
        <w:t>（三）毕业要求</w:t>
      </w:r>
      <w:bookmarkEnd w:id="187"/>
      <w:bookmarkEnd w:id="188"/>
      <w:bookmarkEnd w:id="189"/>
      <w:bookmarkEnd w:id="190"/>
      <w:bookmarkEnd w:id="191"/>
      <w:bookmarkEnd w:id="192"/>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在规定的学习年限内，同时达到以下要求，准予毕业：</w:t>
      </w:r>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1.综合素质考核合格；</w:t>
      </w:r>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2.修满专业人才培养方案规定的全部课程且成绩合格；</w:t>
      </w:r>
    </w:p>
    <w:p>
      <w:pPr>
        <w:spacing w:line="500" w:lineRule="exact"/>
        <w:ind w:firstLine="640" w:firstLineChars="200"/>
        <w:rPr>
          <w:rFonts w:ascii="方正仿宋_GBK" w:hAnsi="方正仿宋_GBK" w:eastAsia="方正仿宋_GBK" w:cs="方正仿宋_GBK"/>
          <w:color w:val="000000"/>
          <w:sz w:val="32"/>
          <w:szCs w:val="32"/>
        </w:rPr>
      </w:pPr>
      <w:r>
        <w:rPr>
          <w:rFonts w:hint="eastAsia" w:ascii="方正仿宋_GBK" w:hAnsi="方正仿宋_GBK" w:eastAsia="方正仿宋_GBK" w:cs="方正仿宋_GBK"/>
          <w:color w:val="000000"/>
          <w:sz w:val="32"/>
          <w:szCs w:val="32"/>
        </w:rPr>
        <w:t>3.顶岗实习考核合格。</w:t>
      </w:r>
    </w:p>
    <w:p>
      <w:pPr>
        <w:keepNext/>
        <w:keepLines/>
        <w:spacing w:line="500" w:lineRule="exact"/>
        <w:ind w:firstLine="643" w:firstLineChars="200"/>
        <w:rPr>
          <w:rFonts w:ascii="方正黑体_GBK" w:hAnsi="方正黑体_GBK" w:eastAsia="方正黑体_GBK" w:cs="方正黑体_GBK"/>
          <w:b/>
          <w:color w:val="000000"/>
          <w:kern w:val="44"/>
          <w:sz w:val="32"/>
          <w:szCs w:val="32"/>
        </w:rPr>
      </w:pPr>
      <w:bookmarkStart w:id="193" w:name="_Toc121436598"/>
      <w:bookmarkStart w:id="194" w:name="_Toc124436798"/>
      <w:bookmarkStart w:id="195" w:name="_Toc124405401"/>
      <w:bookmarkStart w:id="196" w:name="_Toc108031868"/>
      <w:bookmarkStart w:id="197" w:name="_Toc124436617"/>
      <w:bookmarkStart w:id="198" w:name="_Toc124370516"/>
      <w:bookmarkStart w:id="199" w:name="_Toc124436014"/>
      <w:bookmarkStart w:id="200" w:name="_Toc124436473"/>
      <w:r>
        <w:rPr>
          <w:rFonts w:hint="eastAsia" w:ascii="方正黑体_GBK" w:hAnsi="方正黑体_GBK" w:eastAsia="方正黑体_GBK" w:cs="方正黑体_GBK"/>
          <w:b/>
          <w:color w:val="000000"/>
          <w:kern w:val="44"/>
          <w:sz w:val="32"/>
          <w:szCs w:val="32"/>
        </w:rPr>
        <w:t>十、其他</w:t>
      </w:r>
      <w:bookmarkEnd w:id="193"/>
      <w:bookmarkEnd w:id="194"/>
      <w:bookmarkEnd w:id="195"/>
      <w:bookmarkEnd w:id="196"/>
      <w:bookmarkEnd w:id="197"/>
      <w:bookmarkEnd w:id="198"/>
      <w:bookmarkEnd w:id="199"/>
      <w:bookmarkEnd w:id="200"/>
    </w:p>
    <w:p>
      <w:pPr>
        <w:spacing w:line="500" w:lineRule="exact"/>
        <w:ind w:firstLine="643" w:firstLineChars="200"/>
        <w:rPr>
          <w:rFonts w:ascii="方正楷体_GBK" w:hAnsi="方正楷体_GBK" w:eastAsia="方正楷体_GBK" w:cs="方正楷体_GBK"/>
          <w:b/>
          <w:bCs/>
          <w:color w:val="000000"/>
          <w:sz w:val="32"/>
          <w:szCs w:val="32"/>
        </w:rPr>
      </w:pPr>
      <w:bookmarkStart w:id="201" w:name="_Toc124405402"/>
      <w:bookmarkStart w:id="202" w:name="_Toc124436474"/>
      <w:bookmarkStart w:id="203" w:name="_Toc124436618"/>
      <w:bookmarkStart w:id="204" w:name="_Toc108031869"/>
      <w:bookmarkStart w:id="205" w:name="_Toc124436799"/>
      <w:bookmarkStart w:id="206" w:name="_Toc124370517"/>
      <w:r>
        <w:rPr>
          <w:rFonts w:hint="eastAsia" w:ascii="方正楷体_GBK" w:hAnsi="方正楷体_GBK" w:eastAsia="方正楷体_GBK" w:cs="方正楷体_GBK"/>
          <w:b/>
          <w:bCs/>
          <w:color w:val="000000"/>
          <w:sz w:val="32"/>
          <w:szCs w:val="32"/>
        </w:rPr>
        <w:t>（一）编写依据</w:t>
      </w:r>
      <w:bookmarkEnd w:id="201"/>
      <w:bookmarkEnd w:id="202"/>
      <w:bookmarkEnd w:id="203"/>
      <w:bookmarkEnd w:id="204"/>
      <w:bookmarkEnd w:id="205"/>
      <w:bookmarkEnd w:id="206"/>
    </w:p>
    <w:p>
      <w:pPr>
        <w:spacing w:line="500" w:lineRule="exact"/>
        <w:ind w:firstLine="640" w:firstLineChars="200"/>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1.教育部《关于职业院校专业人才培养方案制订与实施工作的指导意见》。</w:t>
      </w:r>
    </w:p>
    <w:p>
      <w:pPr>
        <w:spacing w:line="500" w:lineRule="exact"/>
        <w:ind w:firstLine="640" w:firstLineChars="200"/>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2.教育部《中等职业学校护理专业教学标准》。</w:t>
      </w:r>
    </w:p>
    <w:p>
      <w:pPr>
        <w:spacing w:line="500" w:lineRule="exact"/>
        <w:ind w:firstLine="640" w:firstLineChars="200"/>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3.教育部《职业院校护理专业仪器设备装备规范》。</w:t>
      </w:r>
    </w:p>
    <w:p>
      <w:pPr>
        <w:spacing w:line="500" w:lineRule="exact"/>
        <w:ind w:firstLine="640" w:firstLineChars="200"/>
        <w:rPr>
          <w:rFonts w:ascii="方正仿宋_GBK" w:hAnsi="方正仿宋_GBK" w:eastAsia="方正仿宋_GBK" w:cs="方正仿宋_GBK"/>
          <w:bCs/>
          <w:color w:val="000000"/>
          <w:sz w:val="32"/>
          <w:szCs w:val="32"/>
        </w:rPr>
      </w:pPr>
      <w:r>
        <w:rPr>
          <w:rFonts w:hint="eastAsia" w:ascii="方正仿宋_GBK" w:hAnsi="方正仿宋_GBK" w:eastAsia="方正仿宋_GBK" w:cs="方正仿宋_GBK"/>
          <w:bCs/>
          <w:color w:val="000000"/>
          <w:sz w:val="32"/>
          <w:szCs w:val="32"/>
        </w:rPr>
        <w:t>4.教育部《中等职业学校护理专业顶岗实习标准》。</w:t>
      </w:r>
    </w:p>
    <w:p>
      <w:pPr>
        <w:pStyle w:val="2"/>
        <w:rPr>
          <w:rFonts w:hint="eastAsia"/>
          <w:color w:val="000000"/>
        </w:rPr>
      </w:pPr>
    </w:p>
    <w:p>
      <w:pPr>
        <w:spacing w:line="500" w:lineRule="exact"/>
        <w:ind w:firstLine="643" w:firstLineChars="200"/>
        <w:rPr>
          <w:rFonts w:ascii="方正楷体_GBK" w:hAnsi="方正楷体_GBK" w:eastAsia="方正楷体_GBK" w:cs="方正楷体_GBK"/>
          <w:b/>
          <w:bCs/>
          <w:color w:val="000000"/>
          <w:sz w:val="32"/>
          <w:szCs w:val="32"/>
        </w:rPr>
      </w:pPr>
      <w:bookmarkStart w:id="207" w:name="_Toc124405403"/>
      <w:bookmarkStart w:id="208" w:name="_Toc108031870"/>
      <w:bookmarkStart w:id="209" w:name="_Toc124436619"/>
      <w:bookmarkStart w:id="210" w:name="_Toc124370518"/>
      <w:bookmarkStart w:id="211" w:name="_Toc124436800"/>
      <w:bookmarkStart w:id="212" w:name="_Toc124436475"/>
      <w:r>
        <w:rPr>
          <w:rFonts w:hint="eastAsia" w:ascii="方正楷体_GBK" w:hAnsi="方正楷体_GBK" w:eastAsia="方正楷体_GBK" w:cs="方正楷体_GBK"/>
          <w:b/>
          <w:bCs/>
          <w:color w:val="000000"/>
          <w:sz w:val="32"/>
          <w:szCs w:val="32"/>
        </w:rPr>
        <w:t>（二）运用范围</w:t>
      </w:r>
      <w:bookmarkEnd w:id="207"/>
      <w:bookmarkEnd w:id="208"/>
      <w:bookmarkEnd w:id="209"/>
      <w:bookmarkEnd w:id="210"/>
      <w:bookmarkEnd w:id="211"/>
      <w:bookmarkEnd w:id="212"/>
    </w:p>
    <w:p>
      <w:pPr>
        <w:rPr>
          <w:color w:val="000000"/>
        </w:rPr>
      </w:pPr>
      <w:r>
        <w:rPr>
          <w:rFonts w:hint="eastAsia" w:ascii="方正仿宋_GBK" w:hAnsi="方正仿宋_GBK" w:eastAsia="方正仿宋_GBK" w:cs="方正仿宋_GBK"/>
          <w:bCs/>
          <w:color w:val="000000"/>
          <w:sz w:val="32"/>
          <w:szCs w:val="32"/>
        </w:rPr>
        <w:t>本方案自 2021/2022 学年度下期开始执行，2021 级及以后年级中职护理专业适用。</w:t>
      </w:r>
      <w:r>
        <w:rPr>
          <w:rFonts w:ascii="宋体" w:hAnsi="宋体" w:cs="宋体"/>
          <w:color w:val="000000"/>
          <w:sz w:val="24"/>
          <w:szCs w:val="24"/>
        </w:rPr>
        <w:t xml:space="preserve">               </w:t>
      </w:r>
      <w:r>
        <w:rPr>
          <w:rFonts w:hint="eastAsia" w:ascii="宋体" w:hAnsi="宋体" w:cs="宋体"/>
          <w:color w:val="000000"/>
          <w:sz w:val="24"/>
          <w:szCs w:val="24"/>
        </w:rPr>
        <w:t xml:space="preserve">             </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8175AC4-F4D1-40D1-8608-4B7470BCBA5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A413F29E-7E8E-4C36-8C4D-F7CBEC0E8756}"/>
  </w:font>
  <w:font w:name="Cambria">
    <w:panose1 w:val="02040503050406030204"/>
    <w:charset w:val="00"/>
    <w:family w:val="roman"/>
    <w:pitch w:val="default"/>
    <w:sig w:usb0="E00002FF" w:usb1="400004FF" w:usb2="00000000" w:usb3="00000000" w:csb0="2000019F" w:csb1="00000000"/>
    <w:embedRegular r:id="rId3" w:fontKey="{F2D4CED4-1A72-4831-8B20-30863BB893D7}"/>
  </w:font>
  <w:font w:name="方正小标宋简体">
    <w:panose1 w:val="03000509000000000000"/>
    <w:charset w:val="86"/>
    <w:family w:val="auto"/>
    <w:pitch w:val="default"/>
    <w:sig w:usb0="00000000" w:usb1="00000000" w:usb2="00000000" w:usb3="00000000" w:csb0="00000000" w:csb1="00000000"/>
    <w:embedRegular r:id="rId4" w:fontKey="{C8CE3213-890C-4A79-8B72-5BFCBF61865E}"/>
  </w:font>
  <w:font w:name="方正黑体_GBK">
    <w:panose1 w:val="03000509000000000000"/>
    <w:charset w:val="86"/>
    <w:family w:val="auto"/>
    <w:pitch w:val="default"/>
    <w:sig w:usb0="00000000" w:usb1="00000000" w:usb2="00000000" w:usb3="00000000" w:csb0="00000000" w:csb1="00000000"/>
    <w:embedRegular r:id="rId5" w:fontKey="{788549C9-31FF-4D54-83A8-C529C465E23E}"/>
  </w:font>
  <w:font w:name="方正仿宋_GBK">
    <w:panose1 w:val="03000509000000000000"/>
    <w:charset w:val="86"/>
    <w:family w:val="auto"/>
    <w:pitch w:val="default"/>
    <w:sig w:usb0="00000000" w:usb1="00000000" w:usb2="00000000" w:usb3="00000000" w:csb0="00000000" w:csb1="00000000"/>
    <w:embedRegular r:id="rId6" w:fontKey="{F4E737B2-4647-41DA-8059-5EEC5543DA74}"/>
  </w:font>
  <w:font w:name="仿宋">
    <w:panose1 w:val="02010609060101010101"/>
    <w:charset w:val="86"/>
    <w:family w:val="modern"/>
    <w:pitch w:val="default"/>
    <w:sig w:usb0="800002BF" w:usb1="38CF7CFA" w:usb2="00000016" w:usb3="00000000" w:csb0="00040001" w:csb1="00000000"/>
    <w:embedRegular r:id="rId7" w:fontKey="{1C9427FC-91FC-493B-9B75-18B18181FF8B}"/>
  </w:font>
  <w:font w:name="方正楷体_GBK">
    <w:panose1 w:val="03000509000000000000"/>
    <w:charset w:val="86"/>
    <w:family w:val="script"/>
    <w:pitch w:val="default"/>
    <w:sig w:usb0="00000000" w:usb1="00000000" w:usb2="00000000" w:usb3="00000000" w:csb0="00000000" w:csb1="00000000"/>
    <w:embedRegular r:id="rId8" w:fontKey="{07CDF7D0-04AA-4F90-B465-7C94D40F3244}"/>
  </w:font>
  <w:font w:name="方正小标宋_GBK">
    <w:panose1 w:val="03000509000000000000"/>
    <w:charset w:val="86"/>
    <w:family w:val="script"/>
    <w:pitch w:val="default"/>
    <w:sig w:usb0="00000000" w:usb1="00000000" w:usb2="00000000" w:usb3="00000000" w:csb0="00000000" w:csb1="00000000"/>
    <w:embedRegular r:id="rId9" w:fontKey="{BCDA7437-A64E-4AC2-9350-3F625904BA59}"/>
  </w:font>
  <w:font w:name="WVHDDF + FZLTHJW--GB1-0">
    <w:altName w:val="Segoe Print"/>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rPr>
        <w:rStyle w:val="8"/>
      </w:rPr>
      <w:fldChar w:fldCharType="begin"/>
    </w:r>
    <w:r>
      <w:rPr>
        <w:rStyle w:val="8"/>
      </w:rPr>
      <w:instrText xml:space="preserve">PAGE  </w:instrText>
    </w:r>
    <w:r>
      <w:rPr>
        <w:rStyle w:val="8"/>
      </w:rPr>
      <w:fldChar w:fldCharType="separate"/>
    </w:r>
    <w:r>
      <w:rPr>
        <w:rStyle w:val="8"/>
      </w:rPr>
      <w:t>20</w:t>
    </w:r>
    <w:r>
      <w:rPr>
        <w:rStyle w:val="8"/>
      </w:rPr>
      <w:fldChar w:fldCharType="end"/>
    </w:r>
  </w:p>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419" w:wrap="around" w:vAnchor="text" w:hAnchor="margin" w:xAlign="center" w:y="5"/>
      <w:rPr>
        <w:rStyle w:val="8"/>
      </w:rPr>
    </w:pPr>
    <w:r>
      <w:rPr>
        <w:rStyle w:val="8"/>
      </w:rPr>
      <w:fldChar w:fldCharType="begin"/>
    </w:r>
    <w:r>
      <w:rPr>
        <w:rStyle w:val="8"/>
      </w:rPr>
      <w:instrText xml:space="preserve">PAGE  </w:instrText>
    </w:r>
    <w:r>
      <w:rPr>
        <w:rStyle w:val="8"/>
      </w:rPr>
      <w:fldChar w:fldCharType="separate"/>
    </w:r>
    <w:r>
      <w:rPr>
        <w:rStyle w:val="8"/>
      </w:rPr>
      <w:t>6</w:t>
    </w:r>
    <w:r>
      <w:rPr>
        <w:rStyle w:val="8"/>
      </w:rPr>
      <w:fldChar w:fldCharType="end"/>
    </w:r>
  </w:p>
  <w:p>
    <w:pPr>
      <w:pStyle w:val="4"/>
      <w:jc w:val="center"/>
    </w:pPr>
  </w:p>
  <w:p>
    <w:pPr>
      <w:pStyle w:val="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rPr>
        <w:rStyle w:val="8"/>
      </w:rPr>
      <w:fldChar w:fldCharType="begin"/>
    </w:r>
    <w:r>
      <w:rPr>
        <w:rStyle w:val="8"/>
      </w:rPr>
      <w:instrText xml:space="preserve">PAGE  </w:instrText>
    </w:r>
    <w:r>
      <w:rPr>
        <w:rStyle w:val="8"/>
      </w:rPr>
      <w:fldChar w:fldCharType="separate"/>
    </w:r>
    <w:r>
      <w:rPr>
        <w:rStyle w:val="8"/>
      </w:rPr>
      <w:t>15</w:t>
    </w:r>
    <w:r>
      <w:rPr>
        <w:rStyle w:val="8"/>
      </w:rP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TrueTypeFonts/>
  <w:saveSubsetFonts/>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OWU3ZGU2ZDIzNzUzYTZhMTUwOWJjMGM5NWFlYjYifQ=="/>
  </w:docVars>
  <w:rsids>
    <w:rsidRoot w:val="E1D7C55D"/>
    <w:rsid w:val="0EC9682F"/>
    <w:rsid w:val="158A5146"/>
    <w:rsid w:val="165B5DB3"/>
    <w:rsid w:val="296B147D"/>
    <w:rsid w:val="310B6F5E"/>
    <w:rsid w:val="37242D52"/>
    <w:rsid w:val="3D5FE0BC"/>
    <w:rsid w:val="3DB54600"/>
    <w:rsid w:val="4B0B04B0"/>
    <w:rsid w:val="4FD3326E"/>
    <w:rsid w:val="513B4AF1"/>
    <w:rsid w:val="594A6647"/>
    <w:rsid w:val="656013FE"/>
    <w:rsid w:val="6D761CA9"/>
    <w:rsid w:val="776E031C"/>
    <w:rsid w:val="777059BB"/>
    <w:rsid w:val="787E5789"/>
    <w:rsid w:val="79F63A97"/>
    <w:rsid w:val="7C1A6390"/>
    <w:rsid w:val="CBBB2D32"/>
    <w:rsid w:val="E1D7C55D"/>
    <w:rsid w:val="F2DD669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99"/>
    <w:pPr>
      <w:spacing w:after="120"/>
    </w:pPr>
  </w:style>
  <w:style w:type="paragraph" w:styleId="3">
    <w:name w:val="Title"/>
    <w:basedOn w:val="1"/>
    <w:next w:val="1"/>
    <w:qFormat/>
    <w:uiPriority w:val="99"/>
    <w:pPr>
      <w:spacing w:before="240" w:after="60"/>
      <w:jc w:val="center"/>
      <w:outlineLvl w:val="0"/>
    </w:pPr>
    <w:rPr>
      <w:rFonts w:ascii="Cambria" w:hAnsi="Cambria"/>
      <w:b/>
      <w:bCs/>
      <w:sz w:val="32"/>
      <w:szCs w:val="32"/>
    </w:rPr>
  </w:style>
  <w:style w:type="paragraph" w:styleId="4">
    <w:name w:val="footer"/>
    <w:basedOn w:val="1"/>
    <w:qFormat/>
    <w:uiPriority w:val="99"/>
    <w:pPr>
      <w:tabs>
        <w:tab w:val="center" w:pos="4153"/>
        <w:tab w:val="right" w:pos="8306"/>
      </w:tabs>
      <w:snapToGrid w:val="0"/>
      <w:jc w:val="left"/>
    </w:pPr>
    <w:rPr>
      <w:sz w:val="18"/>
    </w:rPr>
  </w:style>
  <w:style w:type="paragraph" w:styleId="5">
    <w:name w:val="header"/>
    <w:basedOn w:val="1"/>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qFormat/>
    <w:uiPriority w:val="99"/>
    <w:rPr>
      <w:rFonts w:cs="Times New Roman"/>
    </w:rPr>
  </w:style>
  <w:style w:type="table" w:customStyle="1" w:styleId="9">
    <w:name w:val="网格型4"/>
    <w:basedOn w:val="6"/>
    <w:qFormat/>
    <w:uiPriority w:val="99"/>
    <w:pPr>
      <w:widowControl w:val="0"/>
      <w:jc w:val="both"/>
    </w:pPr>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0</Words>
  <Characters>0</Characters>
  <Lines>0</Lines>
  <Paragraphs>0</Paragraphs>
  <TotalTime>6</TotalTime>
  <ScaleCrop>false</ScaleCrop>
  <LinksUpToDate>false</LinksUpToDate>
  <CharactersWithSpaces>0</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2020-05-13T17:52:00Z</dcterms:created>
  <dc:creator>uos</dc:creator>
  <cp:lastModifiedBy>Administrator</cp:lastModifiedBy>
  <dcterms:modified xsi:type="dcterms:W3CDTF">2023-06-20T06:37:26Z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y fmtid="{D5CDD505-2E9C-101B-9397-08002B2CF9AE}" pid="3" name="ICV">
    <vt:lpwstr>9A24554AC593B8345A9BE96343CD3156</vt:lpwstr>
  </property>
</Properties>
</file>