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rPr>
          <w:rFonts w:ascii="方正小标宋简体" w:hAnsi="黑体" w:eastAsia="方正小标宋简体" w:cs="黑体"/>
          <w:b/>
          <w:sz w:val="44"/>
          <w:szCs w:val="44"/>
        </w:rPr>
      </w:pPr>
    </w:p>
    <w:p>
      <w:pPr>
        <w:widowControl/>
        <w:spacing w:line="240" w:lineRule="auto"/>
        <w:jc w:val="center"/>
        <w:rPr>
          <w:rFonts w:ascii="方正小标宋简体" w:hAnsi="黑体" w:eastAsia="方正小标宋简体" w:cs="黑体"/>
          <w:b/>
          <w:sz w:val="72"/>
          <w:szCs w:val="72"/>
        </w:rPr>
      </w:pPr>
      <w:r>
        <w:rPr>
          <w:rFonts w:hint="eastAsia" w:ascii="方正小标宋简体" w:hAnsi="黑体" w:eastAsia="方正小标宋简体" w:cs="黑体"/>
          <w:b/>
          <w:sz w:val="72"/>
          <w:szCs w:val="72"/>
        </w:rPr>
        <w:t>护理专业</w:t>
      </w:r>
    </w:p>
    <w:p>
      <w:pPr>
        <w:widowControl/>
        <w:spacing w:line="240" w:lineRule="auto"/>
        <w:jc w:val="center"/>
        <w:rPr>
          <w:rFonts w:ascii="方正小标宋简体" w:hAnsi="黑体" w:eastAsia="方正小标宋简体" w:cs="黑体"/>
          <w:b/>
          <w:sz w:val="72"/>
          <w:szCs w:val="72"/>
        </w:rPr>
      </w:pPr>
      <w:r>
        <w:rPr>
          <w:rFonts w:hint="eastAsia" w:ascii="方正小标宋简体" w:hAnsi="黑体" w:eastAsia="方正小标宋简体" w:cs="黑体"/>
          <w:b/>
          <w:sz w:val="72"/>
          <w:szCs w:val="72"/>
        </w:rPr>
        <w:t>人才培养方案</w:t>
      </w:r>
    </w:p>
    <w:p>
      <w:pPr>
        <w:widowControl/>
        <w:spacing w:line="240" w:lineRule="auto"/>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bookmarkStart w:id="31" w:name="_GoBack"/>
      <w:bookmarkEnd w:id="31"/>
    </w:p>
    <w:p>
      <w:pPr>
        <w:jc w:val="center"/>
        <w:rPr>
          <w:rFonts w:ascii="黑体" w:hAnsi="黑体" w:eastAsia="黑体" w:cs="黑体"/>
          <w:b/>
          <w:sz w:val="40"/>
          <w:szCs w:val="40"/>
        </w:rPr>
      </w:pPr>
    </w:p>
    <w:p>
      <w:pPr>
        <w:jc w:val="center"/>
        <w:rPr>
          <w:rFonts w:ascii="黑体" w:hAnsi="黑体" w:eastAsia="黑体" w:cs="黑体"/>
          <w:b/>
          <w:sz w:val="40"/>
          <w:szCs w:val="40"/>
        </w:rPr>
      </w:pPr>
    </w:p>
    <w:p>
      <w:pPr>
        <w:pStyle w:val="11"/>
        <w:tabs>
          <w:tab w:val="right" w:leader="dot" w:pos="8306"/>
        </w:tabs>
        <w:jc w:val="center"/>
        <w:rPr>
          <w:rFonts w:hint="eastAsia" w:ascii="方正仿宋_GBK" w:hAnsi="黑体" w:eastAsia="方正仿宋_GBK" w:cs="黑体"/>
          <w:b/>
          <w:sz w:val="32"/>
          <w:szCs w:val="32"/>
        </w:rPr>
      </w:pPr>
      <w:r>
        <w:rPr>
          <w:rFonts w:hint="eastAsia" w:ascii="方正仿宋_GBK" w:hAnsi="黑体" w:eastAsia="方正仿宋_GBK" w:cs="黑体"/>
          <w:b/>
          <w:sz w:val="32"/>
          <w:szCs w:val="32"/>
          <w:lang w:val="en-US" w:eastAsia="zh-CN"/>
        </w:rPr>
        <w:t>制定时间：</w:t>
      </w:r>
      <w:r>
        <w:rPr>
          <w:rFonts w:hint="eastAsia" w:ascii="方正仿宋_GBK" w:hAnsi="黑体" w:eastAsia="方正仿宋_GBK" w:cs="黑体"/>
          <w:b/>
          <w:sz w:val="32"/>
          <w:szCs w:val="32"/>
        </w:rPr>
        <w:t>202</w:t>
      </w:r>
      <w:r>
        <w:rPr>
          <w:rFonts w:hint="eastAsia" w:ascii="方正仿宋_GBK" w:hAnsi="黑体" w:eastAsia="方正仿宋_GBK" w:cs="黑体"/>
          <w:b/>
          <w:sz w:val="32"/>
          <w:szCs w:val="32"/>
          <w:lang w:val="en-US" w:eastAsia="zh-CN"/>
        </w:rPr>
        <w:t>2</w:t>
      </w:r>
      <w:r>
        <w:rPr>
          <w:rFonts w:hint="eastAsia" w:ascii="方正仿宋_GBK" w:hAnsi="黑体" w:eastAsia="方正仿宋_GBK" w:cs="黑体"/>
          <w:b/>
          <w:sz w:val="32"/>
          <w:szCs w:val="32"/>
        </w:rPr>
        <w:t>年</w:t>
      </w:r>
      <w:r>
        <w:rPr>
          <w:rFonts w:hint="eastAsia" w:ascii="方正仿宋_GBK" w:hAnsi="黑体" w:eastAsia="方正仿宋_GBK" w:cs="黑体"/>
          <w:b/>
          <w:sz w:val="32"/>
          <w:szCs w:val="32"/>
          <w:lang w:val="en-US" w:eastAsia="zh-CN"/>
        </w:rPr>
        <w:t>6</w:t>
      </w:r>
      <w:r>
        <w:rPr>
          <w:rFonts w:hint="eastAsia" w:ascii="方正仿宋_GBK" w:hAnsi="黑体" w:eastAsia="方正仿宋_GBK" w:cs="黑体"/>
          <w:b/>
          <w:sz w:val="32"/>
          <w:szCs w:val="32"/>
        </w:rPr>
        <w:t>月</w:t>
      </w:r>
    </w:p>
    <w:p>
      <w:pPr>
        <w:rPr>
          <w:rFonts w:hint="default" w:eastAsia="方正仿宋_GBK"/>
          <w:lang w:val="en-US" w:eastAsia="zh-CN"/>
        </w:rPr>
      </w:pPr>
    </w:p>
    <w:p>
      <w:pPr>
        <w:ind w:firstLine="2891" w:firstLineChars="900"/>
        <w:rPr>
          <w:rFonts w:hint="default" w:eastAsia="方正仿宋_GBK"/>
          <w:lang w:val="en-US" w:eastAsia="zh-CN"/>
        </w:rPr>
        <w:sectPr>
          <w:pgSz w:w="11906" w:h="16838"/>
          <w:pgMar w:top="1418" w:right="1418" w:bottom="1418" w:left="1418" w:header="851" w:footer="992" w:gutter="0"/>
          <w:cols w:space="720" w:num="1"/>
          <w:docGrid w:type="lines" w:linePitch="312" w:charSpace="0"/>
        </w:sectPr>
      </w:pPr>
      <w:r>
        <w:rPr>
          <w:rFonts w:hint="eastAsia" w:ascii="方正仿宋_GBK" w:hAnsi="黑体" w:eastAsia="方正仿宋_GBK" w:cs="黑体"/>
          <w:b/>
          <w:sz w:val="32"/>
          <w:szCs w:val="32"/>
          <w:lang w:val="en-US" w:eastAsia="zh-CN"/>
        </w:rPr>
        <w:t>实施时间：</w:t>
      </w:r>
      <w:r>
        <w:rPr>
          <w:rFonts w:hint="eastAsia" w:ascii="方正仿宋_GBK" w:hAnsi="黑体" w:eastAsia="方正仿宋_GBK" w:cs="黑体"/>
          <w:b/>
          <w:sz w:val="32"/>
          <w:szCs w:val="32"/>
        </w:rPr>
        <w:t>202</w:t>
      </w:r>
      <w:r>
        <w:rPr>
          <w:rFonts w:hint="eastAsia" w:ascii="方正仿宋_GBK" w:hAnsi="黑体" w:eastAsia="方正仿宋_GBK" w:cs="黑体"/>
          <w:b/>
          <w:sz w:val="32"/>
          <w:szCs w:val="32"/>
          <w:lang w:val="en-US" w:eastAsia="zh-CN"/>
        </w:rPr>
        <w:t>2</w:t>
      </w:r>
      <w:r>
        <w:rPr>
          <w:rFonts w:hint="eastAsia" w:ascii="方正仿宋_GBK" w:hAnsi="黑体" w:eastAsia="方正仿宋_GBK" w:cs="黑体"/>
          <w:b/>
          <w:sz w:val="32"/>
          <w:szCs w:val="32"/>
        </w:rPr>
        <w:t>年</w:t>
      </w:r>
      <w:r>
        <w:rPr>
          <w:rFonts w:hint="eastAsia" w:ascii="方正仿宋_GBK" w:hAnsi="黑体" w:eastAsia="方正仿宋_GBK" w:cs="黑体"/>
          <w:b/>
          <w:sz w:val="32"/>
          <w:szCs w:val="32"/>
          <w:lang w:val="en-US" w:eastAsia="zh-CN"/>
        </w:rPr>
        <w:t>9</w:t>
      </w:r>
      <w:r>
        <w:rPr>
          <w:rFonts w:hint="eastAsia" w:ascii="方正仿宋_GBK" w:hAnsi="黑体" w:eastAsia="方正仿宋_GBK" w:cs="黑体"/>
          <w:b/>
          <w:sz w:val="32"/>
          <w:szCs w:val="32"/>
        </w:rPr>
        <w:t>月</w:t>
      </w:r>
    </w:p>
    <w:sdt>
      <w:sdtPr>
        <w:rPr>
          <w:rFonts w:ascii="Calibri" w:hAnsi="Calibri" w:eastAsia="宋体" w:cs="Times New Roman"/>
          <w:b w:val="0"/>
          <w:bCs w:val="0"/>
          <w:color w:val="auto"/>
          <w:kern w:val="2"/>
          <w:sz w:val="21"/>
          <w:szCs w:val="22"/>
          <w:lang w:val="zh-CN"/>
        </w:rPr>
        <w:id w:val="-399748500"/>
        <w:docPartObj>
          <w:docPartGallery w:val="Table of Contents"/>
          <w:docPartUnique/>
        </w:docPartObj>
      </w:sdtPr>
      <w:sdtEndPr>
        <w:rPr>
          <w:rFonts w:hint="eastAsia" w:ascii="方正仿宋_GBK" w:hAnsi="仿宋" w:eastAsia="方正仿宋_GBK" w:cs="Times New Roman"/>
          <w:b w:val="0"/>
          <w:bCs w:val="0"/>
          <w:color w:val="auto"/>
          <w:kern w:val="2"/>
          <w:sz w:val="28"/>
          <w:szCs w:val="28"/>
          <w:lang w:val="zh-CN"/>
        </w:rPr>
      </w:sdtEndPr>
      <w:sdtContent>
        <w:p>
          <w:pPr>
            <w:pStyle w:val="40"/>
            <w:jc w:val="center"/>
            <w:rPr>
              <w:sz w:val="48"/>
              <w:szCs w:val="48"/>
            </w:rPr>
          </w:pPr>
          <w:r>
            <w:rPr>
              <w:sz w:val="44"/>
              <w:szCs w:val="44"/>
              <w:lang w:val="zh-CN"/>
            </w:rPr>
            <w:t>目</w:t>
          </w:r>
          <w:r>
            <w:rPr>
              <w:rFonts w:hint="eastAsia"/>
              <w:sz w:val="44"/>
              <w:szCs w:val="44"/>
              <w:lang w:val="en-US" w:eastAsia="zh-CN"/>
            </w:rPr>
            <w:t xml:space="preserve">  </w:t>
          </w:r>
          <w:r>
            <w:rPr>
              <w:sz w:val="44"/>
              <w:szCs w:val="44"/>
              <w:lang w:val="zh-CN"/>
            </w:rPr>
            <w:t>录</w:t>
          </w:r>
        </w:p>
        <w:p>
          <w:pPr>
            <w:pStyle w:val="11"/>
            <w:tabs>
              <w:tab w:val="right" w:leader="dot" w:pos="9062"/>
            </w:tabs>
            <w:spacing w:line="400" w:lineRule="exact"/>
            <w:rPr>
              <w:rFonts w:ascii="方正仿宋_GBK" w:eastAsia="方正仿宋_GBK" w:hAnsiTheme="minorHAnsi" w:cstheme="minorBidi"/>
              <w:sz w:val="28"/>
              <w:szCs w:val="28"/>
            </w:rPr>
          </w:pPr>
          <w:r>
            <w:rPr>
              <w:rFonts w:hint="eastAsia" w:ascii="方正仿宋_GBK" w:hAnsi="仿宋" w:eastAsia="方正仿宋_GBK"/>
              <w:sz w:val="28"/>
              <w:szCs w:val="28"/>
            </w:rPr>
            <w:fldChar w:fldCharType="begin"/>
          </w:r>
          <w:r>
            <w:rPr>
              <w:rFonts w:hint="eastAsia" w:ascii="方正仿宋_GBK" w:hAnsi="仿宋" w:eastAsia="方正仿宋_GBK"/>
              <w:sz w:val="28"/>
              <w:szCs w:val="28"/>
            </w:rPr>
            <w:instrText xml:space="preserve"> TOC \o "1-3" \h \z \u </w:instrText>
          </w:r>
          <w:r>
            <w:rPr>
              <w:rFonts w:hint="eastAsia" w:ascii="方正仿宋_GBK" w:hAnsi="仿宋" w:eastAsia="方正仿宋_GBK"/>
              <w:sz w:val="28"/>
              <w:szCs w:val="28"/>
            </w:rPr>
            <w:fldChar w:fldCharType="separate"/>
          </w:r>
          <w:r>
            <w:fldChar w:fldCharType="begin"/>
          </w:r>
          <w:r>
            <w:instrText xml:space="preserve"> HYPERLINK \l "_Toc108031842" </w:instrText>
          </w:r>
          <w:r>
            <w:fldChar w:fldCharType="separate"/>
          </w:r>
          <w:r>
            <w:rPr>
              <w:rStyle w:val="20"/>
              <w:rFonts w:hint="eastAsia" w:ascii="方正仿宋_GBK" w:hAnsi="方正黑体_GBK" w:eastAsia="方正仿宋_GBK" w:cs="方正黑体_GBK"/>
              <w:sz w:val="28"/>
              <w:szCs w:val="28"/>
            </w:rPr>
            <w:t>一、专业名称（专业代码）</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_Toc108031842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"_Toc108031843" </w:instrText>
          </w:r>
          <w:r>
            <w:fldChar w:fldCharType="separate"/>
          </w:r>
          <w:r>
            <w:rPr>
              <w:rStyle w:val="20"/>
              <w:rFonts w:hint="eastAsia" w:ascii="方正仿宋_GBK" w:hAnsi="方正黑体_GBK" w:eastAsia="方正仿宋_GBK" w:cs="方正黑体_GBK"/>
              <w:sz w:val="28"/>
              <w:szCs w:val="28"/>
            </w:rPr>
            <w:t>二、入学要求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_Toc108031843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"_Toc108031844" </w:instrText>
          </w:r>
          <w:r>
            <w:fldChar w:fldCharType="separate"/>
          </w:r>
          <w:r>
            <w:rPr>
              <w:rStyle w:val="20"/>
              <w:rFonts w:hint="eastAsia" w:ascii="方正仿宋_GBK" w:hAnsi="方正黑体_GBK" w:eastAsia="方正仿宋_GBK" w:cs="方正黑体_GBK"/>
              <w:sz w:val="28"/>
              <w:szCs w:val="28"/>
            </w:rPr>
            <w:t>三、修业年限</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_Toc108031844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"_Toc108031845" </w:instrText>
          </w:r>
          <w:r>
            <w:fldChar w:fldCharType="separate"/>
          </w:r>
          <w:r>
            <w:rPr>
              <w:rStyle w:val="20"/>
              <w:rFonts w:hint="eastAsia" w:ascii="方正仿宋_GBK" w:hAnsi="方正黑体_GBK" w:eastAsia="方正仿宋_GBK" w:cs="方正黑体_GBK"/>
              <w:sz w:val="28"/>
              <w:szCs w:val="28"/>
            </w:rPr>
            <w:t>四、职业面向和接续专业</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_Toc108031845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"_Toc108031846" </w:instrText>
          </w:r>
          <w:r>
            <w:fldChar w:fldCharType="separate"/>
          </w:r>
          <w:r>
            <w:rPr>
              <w:rStyle w:val="20"/>
              <w:rFonts w:hint="eastAsia" w:ascii="方正仿宋_GBK" w:hAnsi="方正楷体_GBK" w:eastAsia="方正仿宋_GBK" w:cs="方正楷体_GBK"/>
              <w:sz w:val="28"/>
              <w:szCs w:val="28"/>
            </w:rPr>
            <w:t>（一）职业面向</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_Toc108031846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"_Toc108031847" </w:instrText>
          </w:r>
          <w:r>
            <w:fldChar w:fldCharType="separate"/>
          </w:r>
          <w:r>
            <w:rPr>
              <w:rStyle w:val="20"/>
              <w:rFonts w:hint="eastAsia" w:ascii="方正仿宋_GBK" w:hAnsi="方正楷体_GBK" w:eastAsia="方正仿宋_GBK" w:cs="方正楷体_GBK"/>
              <w:sz w:val="28"/>
              <w:szCs w:val="28"/>
            </w:rPr>
            <w:t>（二）接续专业</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_Toc108031847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"_Toc108031848" </w:instrText>
          </w:r>
          <w:r>
            <w:fldChar w:fldCharType="separate"/>
          </w:r>
          <w:r>
            <w:rPr>
              <w:rStyle w:val="20"/>
              <w:rFonts w:hint="eastAsia" w:ascii="方正仿宋_GBK" w:hAnsi="方正黑体_GBK" w:eastAsia="方正仿宋_GBK" w:cs="方正黑体_GBK"/>
              <w:sz w:val="28"/>
              <w:szCs w:val="28"/>
            </w:rPr>
            <w:t>五、培养目标与培养规格</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_Toc108031848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"_Toc108031849" </w:instrText>
          </w:r>
          <w:r>
            <w:fldChar w:fldCharType="separate"/>
          </w:r>
          <w:r>
            <w:rPr>
              <w:rStyle w:val="20"/>
              <w:rFonts w:hint="eastAsia" w:ascii="方正仿宋_GBK" w:hAnsi="方正楷体_GBK" w:eastAsia="方正仿宋_GBK" w:cs="方正楷体_GBK"/>
              <w:sz w:val="28"/>
              <w:szCs w:val="28"/>
            </w:rPr>
            <w:t>（一）培养目标</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_Toc108031849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"_Toc108031850" </w:instrText>
          </w:r>
          <w:r>
            <w:fldChar w:fldCharType="separate"/>
          </w:r>
          <w:r>
            <w:rPr>
              <w:rStyle w:val="20"/>
              <w:rFonts w:hint="eastAsia" w:ascii="方正仿宋_GBK" w:hAnsi="方正楷体_GBK" w:eastAsia="方正仿宋_GBK" w:cs="方正楷体_GBK"/>
              <w:sz w:val="28"/>
              <w:szCs w:val="28"/>
            </w:rPr>
            <w:t>（二）培养规格</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_Toc108031850 \h </w:instrText>
          </w:r>
          <w:r>
            <w:rPr>
              <w:rFonts w:hint="eastAsia" w:ascii="方正仿宋_GBK" w:eastAsia="方正仿宋_GBK"/>
              <w:sz w:val="28"/>
              <w:szCs w:val="28"/>
            </w:rPr>
            <w:fldChar w:fldCharType="separate"/>
          </w:r>
          <w:r>
            <w:rPr>
              <w:rFonts w:hint="eastAsia" w:ascii="方正仿宋_GBK" w:eastAsia="方正仿宋_GBK"/>
              <w:sz w:val="28"/>
              <w:szCs w:val="28"/>
            </w:rPr>
            <w:t>4</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"_Toc108031851" </w:instrText>
          </w:r>
          <w:r>
            <w:fldChar w:fldCharType="separate"/>
          </w:r>
          <w:r>
            <w:rPr>
              <w:rStyle w:val="20"/>
              <w:rFonts w:hint="eastAsia" w:ascii="方正仿宋_GBK" w:hAnsi="方正黑体_GBK" w:eastAsia="方正仿宋_GBK" w:cs="方正黑体_GBK"/>
              <w:sz w:val="28"/>
              <w:szCs w:val="28"/>
            </w:rPr>
            <w:t>六、课程设置及要求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_Toc108031851 \h </w:instrText>
          </w:r>
          <w:r>
            <w:rPr>
              <w:rFonts w:hint="eastAsia" w:ascii="方正仿宋_GBK" w:eastAsia="方正仿宋_GBK"/>
              <w:sz w:val="28"/>
              <w:szCs w:val="28"/>
            </w:rPr>
            <w:fldChar w:fldCharType="separate"/>
          </w:r>
          <w:r>
            <w:rPr>
              <w:rFonts w:hint="eastAsia" w:ascii="方正仿宋_GBK" w:eastAsia="方正仿宋_GBK"/>
              <w:sz w:val="28"/>
              <w:szCs w:val="28"/>
            </w:rPr>
            <w:t>7</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"_Toc108031852" </w:instrText>
          </w:r>
          <w:r>
            <w:fldChar w:fldCharType="separate"/>
          </w:r>
          <w:r>
            <w:rPr>
              <w:rStyle w:val="20"/>
              <w:rFonts w:hint="eastAsia" w:ascii="方正仿宋_GBK" w:hAnsi="方正楷体_GBK" w:eastAsia="方正仿宋_GBK" w:cs="方正楷体_GBK"/>
              <w:sz w:val="28"/>
              <w:szCs w:val="28"/>
            </w:rPr>
            <w:t>（一）课程结构</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_Toc108031852 \h </w:instrText>
          </w:r>
          <w:r>
            <w:rPr>
              <w:rFonts w:hint="eastAsia" w:ascii="方正仿宋_GBK" w:eastAsia="方正仿宋_GBK"/>
              <w:sz w:val="28"/>
              <w:szCs w:val="28"/>
            </w:rPr>
            <w:fldChar w:fldCharType="separate"/>
          </w:r>
          <w:r>
            <w:rPr>
              <w:rFonts w:hint="eastAsia" w:ascii="方正仿宋_GBK" w:eastAsia="方正仿宋_GBK"/>
              <w:sz w:val="28"/>
              <w:szCs w:val="28"/>
            </w:rPr>
            <w:t>7</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"_Toc108031853" </w:instrText>
          </w:r>
          <w:r>
            <w:fldChar w:fldCharType="separate"/>
          </w:r>
          <w:r>
            <w:rPr>
              <w:rStyle w:val="20"/>
              <w:rFonts w:hint="eastAsia" w:ascii="方正仿宋_GBK" w:hAnsi="方正楷体_GBK" w:eastAsia="方正仿宋_GBK" w:cs="方正楷体_GBK"/>
              <w:sz w:val="28"/>
              <w:szCs w:val="28"/>
            </w:rPr>
            <w:t>（二）课程设置及要求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_Toc108031853 \h </w:instrText>
          </w:r>
          <w:r>
            <w:rPr>
              <w:rFonts w:hint="eastAsia" w:ascii="方正仿宋_GBK" w:eastAsia="方正仿宋_GBK"/>
              <w:sz w:val="28"/>
              <w:szCs w:val="28"/>
            </w:rPr>
            <w:fldChar w:fldCharType="separate"/>
          </w:r>
          <w:r>
            <w:rPr>
              <w:rFonts w:hint="eastAsia" w:ascii="方正仿宋_GBK" w:eastAsia="方正仿宋_GBK"/>
              <w:sz w:val="28"/>
              <w:szCs w:val="28"/>
            </w:rPr>
            <w:t>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"_Toc108031854" </w:instrText>
          </w:r>
          <w:r>
            <w:fldChar w:fldCharType="separate"/>
          </w:r>
          <w:r>
            <w:rPr>
              <w:rStyle w:val="20"/>
              <w:rFonts w:hint="eastAsia" w:ascii="方正仿宋_GBK" w:hAnsi="方正黑体_GBK" w:eastAsia="方正仿宋_GBK" w:cs="方正黑体_GBK"/>
              <w:sz w:val="28"/>
              <w:szCs w:val="28"/>
            </w:rPr>
            <w:t>七、教学进程总体安排</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_Toc108031854 \h </w:instrText>
          </w:r>
          <w:r>
            <w:rPr>
              <w:rFonts w:hint="eastAsia" w:ascii="方正仿宋_GBK" w:eastAsia="方正仿宋_GBK"/>
              <w:sz w:val="28"/>
              <w:szCs w:val="28"/>
            </w:rPr>
            <w:fldChar w:fldCharType="separate"/>
          </w:r>
          <w:r>
            <w:rPr>
              <w:rFonts w:hint="eastAsia" w:ascii="方正仿宋_GBK" w:eastAsia="方正仿宋_GBK"/>
              <w:sz w:val="28"/>
              <w:szCs w:val="28"/>
            </w:rPr>
            <w:t>15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"_Toc108031855" </w:instrText>
          </w:r>
          <w:r>
            <w:fldChar w:fldCharType="separate"/>
          </w:r>
          <w:r>
            <w:rPr>
              <w:rStyle w:val="20"/>
              <w:rFonts w:hint="eastAsia" w:ascii="方正仿宋_GBK" w:hAnsi="方正楷体_GBK" w:eastAsia="方正仿宋_GBK" w:cs="方正楷体_GBK"/>
              <w:sz w:val="28"/>
              <w:szCs w:val="28"/>
            </w:rPr>
            <w:t>（一）时间（周）分配表</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_Toc108031855 \h </w:instrText>
          </w:r>
          <w:r>
            <w:rPr>
              <w:rFonts w:hint="eastAsia" w:ascii="方正仿宋_GBK" w:eastAsia="方正仿宋_GBK"/>
              <w:sz w:val="28"/>
              <w:szCs w:val="28"/>
            </w:rPr>
            <w:fldChar w:fldCharType="separate"/>
          </w:r>
          <w:r>
            <w:rPr>
              <w:rFonts w:hint="eastAsia" w:ascii="方正仿宋_GBK" w:eastAsia="方正仿宋_GBK"/>
              <w:sz w:val="28"/>
              <w:szCs w:val="28"/>
            </w:rPr>
            <w:t>15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"_Toc108031856" </w:instrText>
          </w:r>
          <w:r>
            <w:fldChar w:fldCharType="separate"/>
          </w:r>
          <w:r>
            <w:rPr>
              <w:rStyle w:val="20"/>
              <w:rFonts w:hint="eastAsia" w:ascii="方正仿宋_GBK" w:hAnsi="方正楷体_GBK" w:eastAsia="方正仿宋_GBK" w:cs="方正楷体_GBK"/>
              <w:spacing w:val="-2"/>
              <w:kern w:val="0"/>
              <w:sz w:val="28"/>
              <w:szCs w:val="28"/>
            </w:rPr>
            <w:t>（二）护理专业教学进程表</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_Toc108031856 \h </w:instrText>
          </w:r>
          <w:r>
            <w:rPr>
              <w:rFonts w:hint="eastAsia" w:ascii="方正仿宋_GBK" w:eastAsia="方正仿宋_GBK"/>
              <w:sz w:val="28"/>
              <w:szCs w:val="28"/>
            </w:rPr>
            <w:fldChar w:fldCharType="separate"/>
          </w:r>
          <w:r>
            <w:rPr>
              <w:rFonts w:hint="eastAsia" w:ascii="方正仿宋_GBK" w:eastAsia="方正仿宋_GBK"/>
              <w:sz w:val="28"/>
              <w:szCs w:val="28"/>
            </w:rPr>
            <w:t>16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"_Toc108031857" </w:instrText>
          </w:r>
          <w:r>
            <w:fldChar w:fldCharType="separate"/>
          </w:r>
          <w:r>
            <w:rPr>
              <w:rStyle w:val="20"/>
              <w:rFonts w:hint="eastAsia" w:ascii="方正仿宋_GBK" w:hAnsi="方正黑体_GBK" w:eastAsia="方正仿宋_GBK" w:cs="方正黑体_GBK"/>
              <w:sz w:val="28"/>
              <w:szCs w:val="28"/>
            </w:rPr>
            <w:t>八、实施保障</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_Toc108031857 \h </w:instrText>
          </w:r>
          <w:r>
            <w:rPr>
              <w:rFonts w:hint="eastAsia" w:ascii="方正仿宋_GBK" w:eastAsia="方正仿宋_GBK"/>
              <w:sz w:val="28"/>
              <w:szCs w:val="28"/>
            </w:rPr>
            <w:fldChar w:fldCharType="separate"/>
          </w:r>
          <w:r>
            <w:rPr>
              <w:rFonts w:hint="eastAsia" w:ascii="方正仿宋_GBK" w:eastAsia="方正仿宋_GBK"/>
              <w:sz w:val="28"/>
              <w:szCs w:val="28"/>
            </w:rPr>
            <w:t>20</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"_Toc108031858" </w:instrText>
          </w:r>
          <w:r>
            <w:fldChar w:fldCharType="separate"/>
          </w:r>
          <w:r>
            <w:rPr>
              <w:rStyle w:val="20"/>
              <w:rFonts w:hint="eastAsia" w:ascii="方正仿宋_GBK" w:hAnsi="方正楷体_GBK" w:eastAsia="方正仿宋_GBK" w:cs="方正楷体_GBK"/>
              <w:sz w:val="28"/>
              <w:szCs w:val="28"/>
            </w:rPr>
            <w:t>（一）师资队伍</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_Toc108031858 \h </w:instrText>
          </w:r>
          <w:r>
            <w:rPr>
              <w:rFonts w:hint="eastAsia" w:ascii="方正仿宋_GBK" w:eastAsia="方正仿宋_GBK"/>
              <w:sz w:val="28"/>
              <w:szCs w:val="28"/>
            </w:rPr>
            <w:fldChar w:fldCharType="separate"/>
          </w:r>
          <w:r>
            <w:rPr>
              <w:rFonts w:hint="eastAsia" w:ascii="方正仿宋_GBK" w:eastAsia="方正仿宋_GBK"/>
              <w:sz w:val="28"/>
              <w:szCs w:val="28"/>
            </w:rPr>
            <w:t>20</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"_Toc108031859" </w:instrText>
          </w:r>
          <w:r>
            <w:fldChar w:fldCharType="separate"/>
          </w:r>
          <w:r>
            <w:rPr>
              <w:rStyle w:val="20"/>
              <w:rFonts w:hint="eastAsia" w:ascii="方正仿宋_GBK" w:hAnsi="方正楷体_GBK" w:eastAsia="方正仿宋_GBK" w:cs="方正楷体_GBK"/>
              <w:bCs/>
              <w:sz w:val="28"/>
              <w:szCs w:val="28"/>
            </w:rPr>
            <w:t>（二）教学设施</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_Toc108031859 \h </w:instrText>
          </w:r>
          <w:r>
            <w:rPr>
              <w:rFonts w:hint="eastAsia" w:ascii="方正仿宋_GBK" w:eastAsia="方正仿宋_GBK"/>
              <w:sz w:val="28"/>
              <w:szCs w:val="28"/>
            </w:rPr>
            <w:fldChar w:fldCharType="separate"/>
          </w:r>
          <w:r>
            <w:rPr>
              <w:rFonts w:hint="eastAsia" w:ascii="方正仿宋_GBK" w:eastAsia="方正仿宋_GBK"/>
              <w:sz w:val="28"/>
              <w:szCs w:val="28"/>
            </w:rPr>
            <w:t>21</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"_Toc108031860" </w:instrText>
          </w:r>
          <w:r>
            <w:fldChar w:fldCharType="separate"/>
          </w:r>
          <w:r>
            <w:rPr>
              <w:rStyle w:val="20"/>
              <w:rFonts w:hint="eastAsia" w:ascii="方正仿宋_GBK" w:hAnsi="方正楷体_GBK" w:eastAsia="方正仿宋_GBK" w:cs="方正楷体_GBK"/>
              <w:sz w:val="28"/>
              <w:szCs w:val="28"/>
            </w:rPr>
            <w:t>（三）教学资源</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_Toc108031860 \h </w:instrText>
          </w:r>
          <w:r>
            <w:rPr>
              <w:rFonts w:hint="eastAsia" w:ascii="方正仿宋_GBK" w:eastAsia="方正仿宋_GBK"/>
              <w:sz w:val="28"/>
              <w:szCs w:val="28"/>
            </w:rPr>
            <w:fldChar w:fldCharType="separate"/>
          </w:r>
          <w:r>
            <w:rPr>
              <w:rFonts w:hint="eastAsia" w:ascii="方正仿宋_GBK" w:eastAsia="方正仿宋_GBK"/>
              <w:sz w:val="28"/>
              <w:szCs w:val="28"/>
            </w:rPr>
            <w:t>24</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"_Toc108031861" </w:instrText>
          </w:r>
          <w:r>
            <w:fldChar w:fldCharType="separate"/>
          </w:r>
          <w:r>
            <w:rPr>
              <w:rStyle w:val="20"/>
              <w:rFonts w:hint="eastAsia" w:ascii="方正仿宋_GBK" w:hAnsi="方正楷体_GBK" w:eastAsia="方正仿宋_GBK" w:cs="方正楷体_GBK"/>
              <w:sz w:val="28"/>
              <w:szCs w:val="28"/>
            </w:rPr>
            <w:t>（四）教学方法</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_Toc108031861 \h </w:instrText>
          </w:r>
          <w:r>
            <w:rPr>
              <w:rFonts w:hint="eastAsia" w:ascii="方正仿宋_GBK" w:eastAsia="方正仿宋_GBK"/>
              <w:sz w:val="28"/>
              <w:szCs w:val="28"/>
            </w:rPr>
            <w:fldChar w:fldCharType="separate"/>
          </w:r>
          <w:r>
            <w:rPr>
              <w:rFonts w:hint="eastAsia" w:ascii="方正仿宋_GBK" w:eastAsia="方正仿宋_GBK"/>
              <w:sz w:val="28"/>
              <w:szCs w:val="28"/>
            </w:rPr>
            <w:t>25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"_Toc108031862" </w:instrText>
          </w:r>
          <w:r>
            <w:fldChar w:fldCharType="separate"/>
          </w:r>
          <w:r>
            <w:rPr>
              <w:rStyle w:val="20"/>
              <w:rFonts w:hint="eastAsia" w:ascii="方正仿宋_GBK" w:hAnsi="方正楷体_GBK" w:eastAsia="方正仿宋_GBK" w:cs="方正楷体_GBK"/>
              <w:sz w:val="28"/>
              <w:szCs w:val="28"/>
            </w:rPr>
            <w:t>（五）学习评价</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_Toc108031862 \h </w:instrText>
          </w:r>
          <w:r>
            <w:rPr>
              <w:rFonts w:hint="eastAsia" w:ascii="方正仿宋_GBK" w:eastAsia="方正仿宋_GBK"/>
              <w:sz w:val="28"/>
              <w:szCs w:val="28"/>
            </w:rPr>
            <w:fldChar w:fldCharType="separate"/>
          </w:r>
          <w:r>
            <w:rPr>
              <w:rFonts w:hint="eastAsia" w:ascii="方正仿宋_GBK" w:eastAsia="方正仿宋_GBK"/>
              <w:sz w:val="28"/>
              <w:szCs w:val="28"/>
            </w:rPr>
            <w:t>26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"_Toc108031863" </w:instrText>
          </w:r>
          <w:r>
            <w:fldChar w:fldCharType="separate"/>
          </w:r>
          <w:r>
            <w:rPr>
              <w:rStyle w:val="20"/>
              <w:rFonts w:hint="eastAsia" w:ascii="方正仿宋_GBK" w:hAnsi="方正楷体_GBK" w:eastAsia="方正仿宋_GBK" w:cs="方正楷体_GBK"/>
              <w:sz w:val="28"/>
              <w:szCs w:val="28"/>
            </w:rPr>
            <w:t>（六）质量管理</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_Toc108031863 \h </w:instrText>
          </w:r>
          <w:r>
            <w:rPr>
              <w:rFonts w:hint="eastAsia" w:ascii="方正仿宋_GBK" w:eastAsia="方正仿宋_GBK"/>
              <w:sz w:val="28"/>
              <w:szCs w:val="28"/>
            </w:rPr>
            <w:fldChar w:fldCharType="separate"/>
          </w:r>
          <w:r>
            <w:rPr>
              <w:rFonts w:hint="eastAsia" w:ascii="方正仿宋_GBK" w:eastAsia="方正仿宋_GBK"/>
              <w:sz w:val="28"/>
              <w:szCs w:val="28"/>
            </w:rPr>
            <w:t>26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"_Toc108031864" </w:instrText>
          </w:r>
          <w:r>
            <w:fldChar w:fldCharType="separate"/>
          </w:r>
          <w:r>
            <w:rPr>
              <w:rStyle w:val="20"/>
              <w:rFonts w:hint="eastAsia" w:ascii="方正仿宋_GBK" w:hAnsi="方正黑体_GBK" w:eastAsia="方正仿宋_GBK" w:cs="方正黑体_GBK"/>
              <w:sz w:val="28"/>
              <w:szCs w:val="28"/>
            </w:rPr>
            <w:t>九、毕业要求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_Toc108031864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"_Toc108031865" </w:instrText>
          </w:r>
          <w:r>
            <w:fldChar w:fldCharType="separate"/>
          </w:r>
          <w:r>
            <w:rPr>
              <w:rStyle w:val="20"/>
              <w:rFonts w:hint="eastAsia" w:ascii="方正仿宋_GBK" w:hAnsi="方正楷体_GBK" w:eastAsia="方正仿宋_GBK" w:cs="方正楷体_GBK"/>
              <w:sz w:val="28"/>
              <w:szCs w:val="28"/>
            </w:rPr>
            <w:t>（一）学业考核要求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_Toc108031865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"_Toc108031866" </w:instrText>
          </w:r>
          <w:r>
            <w:fldChar w:fldCharType="separate"/>
          </w:r>
          <w:r>
            <w:rPr>
              <w:rStyle w:val="20"/>
              <w:rFonts w:hint="eastAsia" w:ascii="方正仿宋_GBK" w:hAnsi="方正楷体_GBK" w:eastAsia="方正仿宋_GBK" w:cs="方正楷体_GBK"/>
              <w:sz w:val="28"/>
              <w:szCs w:val="28"/>
            </w:rPr>
            <w:t>（二）证书考取要求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_Toc108031866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"_Toc108031867" </w:instrText>
          </w:r>
          <w:r>
            <w:fldChar w:fldCharType="separate"/>
          </w:r>
          <w:r>
            <w:rPr>
              <w:rStyle w:val="20"/>
              <w:rFonts w:hint="eastAsia" w:ascii="方正仿宋_GBK" w:hAnsi="方正楷体_GBK" w:eastAsia="方正仿宋_GBK" w:cs="方正楷体_GBK"/>
              <w:sz w:val="28"/>
              <w:szCs w:val="28"/>
            </w:rPr>
            <w:t>（三）毕业要求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_Toc108031867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"_Toc108031868" </w:instrText>
          </w:r>
          <w:r>
            <w:fldChar w:fldCharType="separate"/>
          </w:r>
          <w:r>
            <w:rPr>
              <w:rStyle w:val="20"/>
              <w:rFonts w:hint="eastAsia" w:ascii="方正仿宋_GBK" w:hAnsi="方正黑体_GBK" w:eastAsia="方正仿宋_GBK" w:cs="方正黑体_GBK"/>
              <w:sz w:val="28"/>
              <w:szCs w:val="28"/>
            </w:rPr>
            <w:t>十、其他</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_Toc108031868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"_Toc108031869" </w:instrText>
          </w:r>
          <w:r>
            <w:fldChar w:fldCharType="separate"/>
          </w:r>
          <w:r>
            <w:rPr>
              <w:rStyle w:val="20"/>
              <w:rFonts w:hint="eastAsia" w:ascii="方正仿宋_GBK" w:hAnsi="方正楷体_GBK" w:eastAsia="方正仿宋_GBK" w:cs="方正楷体_GBK"/>
              <w:bCs/>
              <w:sz w:val="28"/>
              <w:szCs w:val="28"/>
            </w:rPr>
            <w:t>（一）编写依据</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_Toc108031869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"_Toc108031870" </w:instrText>
          </w:r>
          <w:r>
            <w:fldChar w:fldCharType="separate"/>
          </w:r>
          <w:r>
            <w:rPr>
              <w:rStyle w:val="20"/>
              <w:rFonts w:hint="eastAsia" w:ascii="方正仿宋_GBK" w:hAnsi="方正楷体_GBK" w:eastAsia="方正仿宋_GBK" w:cs="方正楷体_GBK"/>
              <w:bCs/>
              <w:sz w:val="28"/>
              <w:szCs w:val="28"/>
            </w:rPr>
            <w:t>（二）运用范围</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_Toc108031870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spacing w:line="440" w:lineRule="exact"/>
            <w:rPr>
              <w:rFonts w:ascii="方正仿宋_GBK" w:hAnsi="仿宋" w:eastAsia="方正仿宋_GBK"/>
              <w:sz w:val="28"/>
              <w:szCs w:val="28"/>
            </w:rPr>
          </w:pPr>
          <w:r>
            <w:rPr>
              <w:rFonts w:hint="eastAsia" w:ascii="方正仿宋_GBK" w:hAnsi="仿宋" w:eastAsia="方正仿宋_GBK"/>
              <w:bCs/>
              <w:sz w:val="28"/>
              <w:szCs w:val="28"/>
              <w:lang w:val="zh-CN"/>
            </w:rPr>
            <w:fldChar w:fldCharType="end"/>
          </w:r>
        </w:p>
      </w:sdtContent>
    </w:sdt>
    <w:p>
      <w:pPr>
        <w:jc w:val="center"/>
        <w:rPr>
          <w:rFonts w:ascii="方正小标宋_GBK" w:hAnsi="方正小标宋_GBK" w:eastAsia="方正小标宋_GBK" w:cs="方正小标宋_GBK"/>
          <w:b/>
          <w:bCs/>
          <w:sz w:val="44"/>
          <w:szCs w:val="44"/>
        </w:rPr>
      </w:pPr>
    </w:p>
    <w:p>
      <w:pPr>
        <w:jc w:val="center"/>
        <w:rPr>
          <w:rFonts w:ascii="方正小标宋_GBK" w:hAnsi="方正小标宋_GBK" w:eastAsia="方正小标宋_GBK" w:cs="方正小标宋_GBK"/>
          <w:b/>
          <w:bCs/>
          <w:sz w:val="44"/>
          <w:szCs w:val="44"/>
        </w:rPr>
      </w:pPr>
      <w:r>
        <w:rPr>
          <w:rFonts w:hint="eastAsia" w:ascii="方正小标宋_GBK" w:hAnsi="方正小标宋_GBK" w:eastAsia="方正小标宋_GBK" w:cs="方正小标宋_GBK"/>
          <w:b/>
          <w:bCs/>
          <w:sz w:val="44"/>
          <w:szCs w:val="44"/>
        </w:rPr>
        <w:t>护理专业人才培养方案</w:t>
      </w:r>
    </w:p>
    <w:p>
      <w:pPr>
        <w:jc w:val="center"/>
        <w:rPr>
          <w:rFonts w:ascii="方正小标宋_GBK" w:hAnsi="方正小标宋_GBK" w:eastAsia="方正小标宋_GBK" w:cs="方正小标宋_GBK"/>
          <w:b/>
          <w:bCs/>
          <w:sz w:val="32"/>
          <w:szCs w:val="32"/>
        </w:rPr>
      </w:pPr>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0" w:name="_Toc108031842"/>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一、专业名称（专业代码）</w:t>
      </w:r>
      <w:bookmarkEnd w:id="0"/>
    </w:p>
    <w:p>
      <w:pPr>
        <w:spacing w:line="560" w:lineRule="exact"/>
        <w:ind w:firstLine="642" w:firstLineChars="200"/>
        <w:rPr>
          <w:rFonts w:ascii="方正仿宋_GBK" w:hAnsi="方正仿宋_GBK" w:eastAsia="方正仿宋_GBK" w:cs="方正仿宋_GBK"/>
          <w:bCs/>
          <w:color w:val="000000" w:themeColor="text1"/>
          <w:sz w:val="32"/>
          <w:szCs w:val="32"/>
          <w14:textFill>
            <w14:solidFill>
              <w14:schemeClr w14:val="tx1"/>
            </w14:solidFill>
          </w14:textFill>
        </w:rPr>
      </w:pPr>
      <w:r>
        <w:rPr>
          <w:rFonts w:hint="eastAsia" w:ascii="方正仿宋_GBK" w:hAnsi="方正仿宋_GBK" w:eastAsia="方正仿宋_GBK" w:cs="方正仿宋_GBK"/>
          <w:bCs/>
          <w:color w:val="000000" w:themeColor="text1"/>
          <w:sz w:val="32"/>
          <w:szCs w:val="32"/>
          <w14:textFill>
            <w14:solidFill>
              <w14:schemeClr w14:val="tx1"/>
            </w14:solidFill>
          </w14:textFill>
        </w:rPr>
        <w:t>护理(专业代码720201)</w:t>
      </w:r>
    </w:p>
    <w:p>
      <w:pPr>
        <w:pStyle w:val="2"/>
        <w:spacing w:before="0" w:after="0" w:line="560" w:lineRule="exact"/>
        <w:ind w:firstLine="642" w:firstLineChars="200"/>
        <w:rPr>
          <w:rFonts w:ascii="方正仿宋_GBK" w:hAnsi="方正仿宋_GBK" w:eastAsia="方正仿宋_GBK" w:cs="方正仿宋_GBK"/>
          <w:color w:val="000000" w:themeColor="text1"/>
          <w:kern w:val="2"/>
          <w:sz w:val="32"/>
          <w:szCs w:val="32"/>
          <w14:textFill>
            <w14:solidFill>
              <w14:schemeClr w14:val="tx1"/>
            </w14:solidFill>
          </w14:textFill>
        </w:rPr>
      </w:pPr>
      <w:bookmarkStart w:id="1" w:name="_Toc108031843"/>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二、入学要求</w:t>
      </w:r>
      <w:bookmarkEnd w:id="1"/>
    </w:p>
    <w:p>
      <w:pPr>
        <w:pStyle w:val="13"/>
        <w:tabs>
          <w:tab w:val="center" w:pos="4153"/>
        </w:tabs>
        <w:spacing w:before="0" w:after="0" w:line="560" w:lineRule="exact"/>
        <w:ind w:firstLine="642" w:firstLineChars="200"/>
        <w:jc w:val="left"/>
        <w:outlineLvl w:val="9"/>
        <w:rPr>
          <w:rFonts w:ascii="方正仿宋_GBK" w:hAnsi="方正仿宋_GBK" w:eastAsia="方正仿宋_GBK" w:cs="方正仿宋_GBK"/>
          <w:b w:val="0"/>
          <w:color w:val="000000" w:themeColor="text1"/>
          <w14:textFill>
            <w14:solidFill>
              <w14:schemeClr w14:val="tx1"/>
            </w14:solidFill>
          </w14:textFill>
        </w:rPr>
      </w:pPr>
      <w:bookmarkStart w:id="2" w:name="_Toc79914082"/>
      <w:r>
        <w:rPr>
          <w:rFonts w:hint="eastAsia" w:ascii="方正仿宋_GBK" w:hAnsi="方正仿宋_GBK" w:eastAsia="方正仿宋_GBK" w:cs="方正仿宋_GBK"/>
          <w:b w:val="0"/>
          <w:color w:val="000000" w:themeColor="text1"/>
          <w14:textFill>
            <w14:solidFill>
              <w14:schemeClr w14:val="tx1"/>
            </w14:solidFill>
          </w14:textFill>
        </w:rPr>
        <w:t>初中毕业或具有同等及以上学力者</w:t>
      </w:r>
      <w:bookmarkEnd w:id="2"/>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3" w:name="_Toc108031844"/>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三、修业年限</w:t>
      </w:r>
      <w:bookmarkEnd w:id="3"/>
    </w:p>
    <w:p>
      <w:pPr>
        <w:spacing w:line="560" w:lineRule="exact"/>
        <w:ind w:firstLine="642" w:firstLineChars="200"/>
        <w:rPr>
          <w:rFonts w:ascii="方正仿宋_GBK" w:hAnsi="方正仿宋_GBK" w:eastAsia="方正仿宋_GBK" w:cs="方正仿宋_GBK"/>
          <w:bCs/>
          <w:color w:val="000000" w:themeColor="text1"/>
          <w:sz w:val="32"/>
          <w:szCs w:val="32"/>
          <w14:textFill>
            <w14:solidFill>
              <w14:schemeClr w14:val="tx1"/>
            </w14:solidFill>
          </w14:textFill>
        </w:rPr>
      </w:pPr>
      <w:r>
        <w:rPr>
          <w:rFonts w:hint="eastAsia" w:ascii="方正仿宋_GBK" w:hAnsi="方正仿宋_GBK" w:eastAsia="方正仿宋_GBK" w:cs="方正仿宋_GBK"/>
          <w:bCs/>
          <w:color w:val="000000" w:themeColor="text1"/>
          <w:sz w:val="32"/>
          <w:szCs w:val="32"/>
          <w14:textFill>
            <w14:solidFill>
              <w14:schemeClr w14:val="tx1"/>
            </w14:solidFill>
          </w14:textFill>
        </w:rPr>
        <w:t>三年</w:t>
      </w:r>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4" w:name="_Toc108031845"/>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四、职业面向和接续专业</w:t>
      </w:r>
      <w:bookmarkEnd w:id="4"/>
    </w:p>
    <w:p>
      <w:pPr>
        <w:pStyle w:val="3"/>
        <w:spacing w:before="0" w:after="0" w:line="560" w:lineRule="exact"/>
        <w:ind w:firstLine="642" w:firstLineChars="200"/>
        <w:rPr>
          <w:rFonts w:ascii="方正楷体_GBK" w:hAnsi="方正楷体_GBK" w:eastAsia="方正楷体_GBK" w:cs="方正楷体_GBK"/>
          <w:b w:val="0"/>
          <w:bCs w:val="0"/>
          <w:color w:val="000000" w:themeColor="text1"/>
          <w14:textFill>
            <w14:solidFill>
              <w14:schemeClr w14:val="tx1"/>
            </w14:solidFill>
          </w14:textFill>
        </w:rPr>
      </w:pPr>
      <w:bookmarkStart w:id="5" w:name="_Toc108031846"/>
      <w:r>
        <w:rPr>
          <w:rFonts w:hint="eastAsia" w:ascii="方正楷体_GBK" w:hAnsi="方正楷体_GBK" w:eastAsia="方正楷体_GBK" w:cs="方正楷体_GBK"/>
          <w:color w:val="000000" w:themeColor="text1"/>
          <w14:textFill>
            <w14:solidFill>
              <w14:schemeClr w14:val="tx1"/>
            </w14:solidFill>
          </w14:textFill>
        </w:rPr>
        <w:t>（一）职业面向</w:t>
      </w:r>
      <w:bookmarkEnd w:id="5"/>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34"/>
        <w:gridCol w:w="2693"/>
        <w:gridCol w:w="1560"/>
        <w:gridCol w:w="1417"/>
        <w:gridCol w:w="1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所属专</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业大类</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及代码</w:t>
            </w:r>
          </w:p>
        </w:tc>
        <w:tc>
          <w:tcPr>
            <w:tcW w:w="1134"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所属专业</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类及代码</w:t>
            </w:r>
          </w:p>
        </w:tc>
        <w:tc>
          <w:tcPr>
            <w:tcW w:w="2693"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对应行业及代码</w:t>
            </w:r>
          </w:p>
        </w:tc>
        <w:tc>
          <w:tcPr>
            <w:tcW w:w="1560"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主要职业类别</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及代码</w:t>
            </w:r>
          </w:p>
        </w:tc>
        <w:tc>
          <w:tcPr>
            <w:tcW w:w="141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主要岗位类别（或技术领域）</w:t>
            </w:r>
          </w:p>
        </w:tc>
        <w:tc>
          <w:tcPr>
            <w:tcW w:w="166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职业技能等级证书、行业企业标准和证书举例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卫生84</w:t>
            </w:r>
          </w:p>
        </w:tc>
        <w:tc>
          <w:tcPr>
            <w:tcW w:w="1134"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1.医院841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2.基层医疗卫生服务842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3.专业公共服务843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4.其他卫生活动849</w:t>
            </w:r>
          </w:p>
        </w:tc>
        <w:tc>
          <w:tcPr>
            <w:tcW w:w="2693"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1.综合医院8411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2.中医医院8412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3.中西医结合医院8413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4.专科医院8415</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5.社区卫生服务中心（站）8421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6.街道卫生院8422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7.乡镇卫生院8423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8.专科疾病防治院（所、站）8432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9.妇幼保健院（所、站）8433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10.健康体检服务8491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11.其他未列明卫生服务8499</w:t>
            </w:r>
          </w:p>
        </w:tc>
        <w:tc>
          <w:tcPr>
            <w:tcW w:w="1560"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1.病房护士2-05-08-01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2.门诊护士2-05-08-02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3.急诊护士2-05-08-03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4.手术室护士2-05-08-04</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5.供应室护士2-05-08-05</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6.社区护士2-05-08-06</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7.其他护理人员2-05-08-99</w:t>
            </w:r>
          </w:p>
        </w:tc>
        <w:tc>
          <w:tcPr>
            <w:tcW w:w="141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1.病区护理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2.门诊护理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3.急诊护理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4.社区护理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5.老年照护</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6.其他护理人员</w:t>
            </w:r>
          </w:p>
        </w:tc>
        <w:tc>
          <w:tcPr>
            <w:tcW w:w="166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1.护士执业资格证</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 1+X老年照护技能等级证书</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 1+X母婴护理技能等级证书</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 1+X幼儿照护技能等级证书</w:t>
            </w:r>
          </w:p>
          <w:p>
            <w:pPr>
              <w:rPr>
                <w:rFonts w:ascii="方正仿宋_GBK" w:hAnsi="方正仿宋_GBK" w:eastAsia="方正仿宋_GBK" w:cs="方正仿宋_GBK"/>
                <w:sz w:val="18"/>
                <w:szCs w:val="18"/>
              </w:rPr>
            </w:pPr>
          </w:p>
          <w:p>
            <w:pPr>
              <w:rPr>
                <w:rFonts w:ascii="方正仿宋_GBK" w:hAnsi="方正仿宋_GBK" w:eastAsia="方正仿宋_GBK" w:cs="方正仿宋_GBK"/>
                <w:sz w:val="18"/>
                <w:szCs w:val="18"/>
              </w:rPr>
            </w:pPr>
          </w:p>
        </w:tc>
      </w:tr>
    </w:tbl>
    <w:p>
      <w:pPr>
        <w:rPr>
          <w:rFonts w:asciiTheme="minorEastAsia" w:hAnsiTheme="minorEastAsia" w:eastAsiaTheme="minorEastAsia"/>
          <w:color w:val="000000" w:themeColor="text1"/>
          <w:szCs w:val="24"/>
          <w14:textFill>
            <w14:solidFill>
              <w14:schemeClr w14:val="tx1"/>
            </w14:solidFill>
          </w14:textFill>
        </w:rPr>
      </w:pPr>
      <w:r>
        <w:rPr>
          <w:rFonts w:hint="eastAsia" w:ascii="方正仿宋_GBK" w:hAnsi="方正仿宋_GBK" w:eastAsia="方正仿宋_GBK" w:cs="方正仿宋_GBK"/>
          <w:color w:val="000000" w:themeColor="text1"/>
          <w:szCs w:val="24"/>
          <w14:textFill>
            <w14:solidFill>
              <w14:schemeClr w14:val="tx1"/>
            </w14:solidFill>
          </w14:textFill>
        </w:rPr>
        <w:t>说明：对应行业参照现行的《国民经济行业分类》（GB/T4754-2017）；主要职业类别参照现行的《中华人民共和国职业分类大典》。</w:t>
      </w:r>
    </w:p>
    <w:p>
      <w:pPr>
        <w:pStyle w:val="3"/>
        <w:spacing w:before="0" w:after="0" w:line="560" w:lineRule="exact"/>
        <w:ind w:firstLine="642" w:firstLineChars="200"/>
        <w:rPr>
          <w:rFonts w:ascii="方正楷体_GBK" w:hAnsi="方正楷体_GBK" w:eastAsia="方正楷体_GBK" w:cs="方正楷体_GBK"/>
          <w:b w:val="0"/>
          <w:bCs w:val="0"/>
          <w:color w:val="000000" w:themeColor="text1"/>
          <w14:textFill>
            <w14:solidFill>
              <w14:schemeClr w14:val="tx1"/>
            </w14:solidFill>
          </w14:textFill>
        </w:rPr>
      </w:pPr>
      <w:bookmarkStart w:id="6" w:name="_Toc108031847"/>
      <w:r>
        <w:rPr>
          <w:rFonts w:hint="eastAsia" w:ascii="方正楷体_GBK" w:hAnsi="方正楷体_GBK" w:eastAsia="方正楷体_GBK" w:cs="方正楷体_GBK"/>
          <w:color w:val="000000" w:themeColor="text1"/>
          <w14:textFill>
            <w14:solidFill>
              <w14:schemeClr w14:val="tx1"/>
            </w14:solidFill>
          </w14:textFill>
        </w:rPr>
        <w:t>（二）接续专业</w:t>
      </w:r>
      <w:bookmarkEnd w:id="6"/>
    </w:p>
    <w:p>
      <w:pPr>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color w:val="000000" w:themeColor="text1"/>
          <w:sz w:val="32"/>
          <w:szCs w:val="32"/>
          <w14:textFill>
            <w14:solidFill>
              <w14:schemeClr w14:val="tx1"/>
            </w14:solidFill>
          </w14:textFill>
        </w:rPr>
        <w:t>高职：</w:t>
      </w:r>
      <w:r>
        <w:rPr>
          <w:rFonts w:hint="eastAsia" w:ascii="方正仿宋_GBK" w:hAnsi="方正仿宋_GBK" w:eastAsia="方正仿宋_GBK" w:cs="方正仿宋_GBK"/>
          <w:sz w:val="32"/>
          <w:szCs w:val="32"/>
        </w:rPr>
        <w:t>护理、助产、老年服务与管理</w:t>
      </w:r>
    </w:p>
    <w:p>
      <w:pPr>
        <w:spacing w:line="560" w:lineRule="exact"/>
        <w:ind w:firstLine="642" w:firstLineChars="200"/>
        <w:rPr>
          <w:rFonts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本科：护理学</w:t>
      </w:r>
    </w:p>
    <w:p>
      <w:pPr>
        <w:pStyle w:val="2"/>
        <w:spacing w:before="0" w:after="0" w:line="560" w:lineRule="exact"/>
        <w:ind w:firstLine="642" w:firstLineChars="200"/>
        <w:rPr>
          <w:rFonts w:ascii="方正黑体_GBK" w:hAnsi="方正黑体_GBK" w:eastAsia="方正黑体_GBK" w:cs="方正黑体_GBK"/>
          <w:b w:val="0"/>
          <w:bCs w:val="0"/>
          <w:sz w:val="32"/>
          <w:szCs w:val="32"/>
        </w:rPr>
      </w:pPr>
      <w:bookmarkStart w:id="7" w:name="_Toc108031848"/>
      <w:r>
        <w:rPr>
          <w:rFonts w:hint="eastAsia" w:ascii="方正黑体_GBK" w:hAnsi="方正黑体_GBK" w:eastAsia="方正黑体_GBK" w:cs="方正黑体_GBK"/>
          <w:b w:val="0"/>
          <w:bCs w:val="0"/>
          <w:sz w:val="32"/>
          <w:szCs w:val="32"/>
        </w:rPr>
        <w:t>五、培养目标与培养规格</w:t>
      </w:r>
      <w:bookmarkEnd w:id="7"/>
    </w:p>
    <w:p>
      <w:pPr>
        <w:pStyle w:val="4"/>
        <w:spacing w:line="560" w:lineRule="exact"/>
        <w:ind w:firstLine="642" w:firstLineChars="200"/>
        <w:outlineLvl w:val="1"/>
        <w:rPr>
          <w:rFonts w:ascii="方正楷体_GBK" w:hAnsi="方正楷体_GBK" w:eastAsia="方正楷体_GBK" w:cs="方正楷体_GBK"/>
          <w:b/>
          <w:sz w:val="32"/>
          <w:szCs w:val="32"/>
        </w:rPr>
      </w:pPr>
      <w:bookmarkStart w:id="8" w:name="_Toc108031849"/>
      <w:r>
        <w:rPr>
          <w:rFonts w:hint="eastAsia" w:ascii="方正楷体_GBK" w:hAnsi="方正楷体_GBK" w:eastAsia="方正楷体_GBK" w:cs="方正楷体_GBK"/>
          <w:b/>
          <w:sz w:val="32"/>
          <w:szCs w:val="32"/>
        </w:rPr>
        <w:t>（一）培养目标</w:t>
      </w:r>
      <w:bookmarkEnd w:id="8"/>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 xml:space="preserve">遵循立德树人、服务发展、促进就业的办学要求，面向临床护理、社区护理、老年护理、急救护理等岗位群，培养德智体美劳全面发展，掌握扎实的科学文化基础和护理基本知识， 具备熟练运用基本护理技术的能力，具有救死扶伤精神和信息素养，能够从事护理及养老育幼等工作的护理专门人才。 </w:t>
      </w:r>
    </w:p>
    <w:p>
      <w:pPr>
        <w:pStyle w:val="4"/>
        <w:spacing w:line="560" w:lineRule="exact"/>
        <w:ind w:firstLine="642" w:firstLineChars="200"/>
        <w:outlineLvl w:val="1"/>
        <w:rPr>
          <w:rFonts w:ascii="方正楷体_GBK" w:hAnsi="方正楷体_GBK" w:eastAsia="方正楷体_GBK" w:cs="方正楷体_GBK"/>
          <w:b/>
          <w:sz w:val="32"/>
          <w:szCs w:val="32"/>
        </w:rPr>
      </w:pPr>
      <w:bookmarkStart w:id="9" w:name="_Toc108031850"/>
      <w:r>
        <w:rPr>
          <w:rFonts w:hint="eastAsia" w:ascii="方正楷体_GBK" w:hAnsi="方正楷体_GBK" w:eastAsia="方正楷体_GBK" w:cs="方正楷体_GBK"/>
          <w:b/>
          <w:sz w:val="32"/>
          <w:szCs w:val="32"/>
        </w:rPr>
        <w:t>（二）培养规格</w:t>
      </w:r>
      <w:bookmarkEnd w:id="9"/>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本专业毕业生应该具有以下素质、知识和能力：</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1.素质</w:t>
      </w:r>
      <w:r>
        <w:rPr>
          <w:rFonts w:hint="eastAsia" w:ascii="方正仿宋_GBK" w:hAnsi="方正仿宋_GBK" w:eastAsia="方正仿宋_GBK" w:cs="方正仿宋_GBK"/>
          <w:b/>
          <w:spacing w:val="-2"/>
          <w:kern w:val="0"/>
          <w:sz w:val="32"/>
          <w:szCs w:val="32"/>
        </w:rPr>
        <w:tab/>
      </w:r>
    </w:p>
    <w:p>
      <w:pPr>
        <w:spacing w:line="560" w:lineRule="exact"/>
        <w:ind w:firstLine="642" w:firstLineChars="200"/>
        <w:rPr>
          <w:rFonts w:ascii="方正仿宋_GBK" w:hAnsi="方正仿宋_GBK" w:eastAsia="方正仿宋_GBK" w:cs="方正仿宋_GBK"/>
          <w:sz w:val="32"/>
          <w:szCs w:val="32"/>
          <w:lang w:bidi="zh-CN"/>
        </w:rPr>
      </w:pPr>
      <w:bookmarkStart w:id="10" w:name="_Toc79914090"/>
      <w:r>
        <w:rPr>
          <w:rFonts w:hint="eastAsia" w:ascii="方正仿宋_GBK" w:hAnsi="方正仿宋_GBK" w:eastAsia="方正仿宋_GBK" w:cs="方正仿宋_GBK"/>
          <w:sz w:val="32"/>
          <w:szCs w:val="32"/>
          <w:lang w:bidi="zh-CN"/>
        </w:rPr>
        <w:t>（1）思想政治素质：坚决拥护中国共产党领导和我国社会主义制度，践行社会主义核心价值观，具有深厚的爱国情感和中华民族自豪感；</w:t>
      </w:r>
    </w:p>
    <w:bookmarkEnd w:id="10"/>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2）职业素质：具有良好的职业道德素质，重视护理伦理，能自觉遵守行业法规、规范和企业规章制度；尊重患者，善于沟通，保护服务对象的隐私；具有主动、热情、甘于奉献的服务意识和素质，诚实守信、爱岗敬业和团队协作精神；具有质量意识、环保意识、安全意识、信息素养、工匠精神和创新思维。</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（3）人文素质：具有敬佑生命、救死扶伤、甘于奉献、大爱无疆的医者精神；具有 “以人的健康为中心”的护理理念，具有较强的慎独精神和责任意识。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（4）身心素质：具有良好的生理、心理状态和社会适应能力，具有适应行业变化、自我提升的潜质和终身学习的基本素质。</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2.知识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bidi="zh-CN"/>
        </w:rPr>
        <w:t>掌握护理专业必要的人文社会科学的基本理论和基本知识；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（2）掌握医疗卫生法律法规和护理伦理、人际沟通、护理心理等相关知识；</w:t>
      </w:r>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（3）掌握正常人体组织结构与生理功能、病理基本知识和护理用药知识。</w:t>
      </w:r>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（4）掌握基础护理和内科、外科、妇产科、儿科、传染科等临床各科护理的基本知识。</w:t>
      </w:r>
    </w:p>
    <w:p>
      <w:pPr>
        <w:pStyle w:val="4"/>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rPr>
        <w:t>（5）熟悉社区传染病防治以及突发公共卫生事件应对知识。</w:t>
      </w:r>
      <w:r>
        <w:rPr>
          <w:rFonts w:hint="eastAsia" w:ascii="方正仿宋_GBK" w:hAnsi="方正仿宋_GBK" w:eastAsia="方正仿宋_GBK" w:cs="方正仿宋_GBK"/>
          <w:sz w:val="32"/>
          <w:szCs w:val="32"/>
          <w:lang w:bidi="zh-CN"/>
        </w:rPr>
        <w:t xml:space="preserve"> </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3.能力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（1）具有探究学习、终身学习、分析问题和解决问题能力；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（2）具有良好的语言和文字表达能力；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（3）具备基础护理和专科护理技术操作能力；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（4）具备一定的临床护理思维能力，运用护理程序实施整体护理的能力；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（5）具备正确使用药物和用药监护的能力；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（6）能够独立进行常见疾病的健康教育和卫生保健指导；</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（7）具有一定的信息技术应用能力。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（8）具有良好的独立思考、团队协作和人际沟通能力；</w:t>
      </w:r>
    </w:p>
    <w:p>
      <w:pPr>
        <w:pStyle w:val="43"/>
        <w:spacing w:line="560" w:lineRule="exact"/>
        <w:ind w:firstLine="642" w:firstLineChars="200"/>
        <w:rPr>
          <w:rFonts w:ascii="方正仿宋_GBK" w:eastAsia="方正仿宋_GBK"/>
          <w:b/>
          <w:sz w:val="32"/>
          <w:szCs w:val="32"/>
        </w:rPr>
      </w:pPr>
      <w:r>
        <w:rPr>
          <w:rFonts w:hint="eastAsia" w:ascii="方正仿宋_GBK" w:eastAsia="方正仿宋_GBK"/>
          <w:b/>
          <w:sz w:val="32"/>
          <w:szCs w:val="32"/>
        </w:rPr>
        <w:t>专业（技能）方向1——急救护理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1.具有急救护理的基本理论知识和技能；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2.具有对急、危、重症患者进行应急处理和配合抢救的基本能力；</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3.具有操作呼吸机、心电监护仪、输液泵、除颤仪等仪器的能力。</w:t>
      </w:r>
    </w:p>
    <w:p>
      <w:pPr>
        <w:pStyle w:val="5"/>
        <w:spacing w:after="0" w:line="560" w:lineRule="exact"/>
        <w:ind w:firstLine="642" w:firstLineChars="200"/>
        <w:rPr>
          <w:rFonts w:ascii="方正仿宋_GBK" w:hAnsi="方正仿宋_GBK" w:eastAsia="方正仿宋_GBK" w:cs="方正仿宋_GBK"/>
          <w:b/>
          <w:sz w:val="32"/>
          <w:szCs w:val="32"/>
        </w:rPr>
      </w:pPr>
      <w:r>
        <w:rPr>
          <w:rFonts w:hint="eastAsia" w:ascii="方正仿宋_GBK" w:eastAsia="方正仿宋_GBK"/>
          <w:b/>
          <w:sz w:val="32"/>
          <w:szCs w:val="32"/>
        </w:rPr>
        <w:t>专业（技能）方向2——社区护理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1.具有社区护理的基本理论知识和技能；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2.具有进行社区健康教育的基本理论知识和技能；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3.具有对社区常见慢性病和传染病患者进行社区管理与护理的能力。</w:t>
      </w:r>
    </w:p>
    <w:p>
      <w:pPr>
        <w:pStyle w:val="5"/>
        <w:spacing w:after="0" w:line="560" w:lineRule="exact"/>
        <w:ind w:firstLine="642" w:firstLineChars="200"/>
        <w:rPr>
          <w:rFonts w:ascii="方正仿宋_GBK" w:hAnsi="方正仿宋_GBK" w:eastAsia="方正仿宋_GBK" w:cs="方正仿宋_GBK"/>
          <w:b/>
          <w:sz w:val="32"/>
          <w:szCs w:val="32"/>
        </w:rPr>
      </w:pPr>
      <w:r>
        <w:rPr>
          <w:rFonts w:hint="eastAsia" w:ascii="方正仿宋_GBK" w:eastAsia="方正仿宋_GBK"/>
          <w:b/>
          <w:sz w:val="32"/>
          <w:szCs w:val="32"/>
        </w:rPr>
        <w:t>专业（技能）方向3——老年护理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1.具有老年生理、心理、日常生活护理等方面的知识；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2.具有对老年人进行健康评估，对老年常见病进行防治与护理的基本能力；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eastAsia="方正仿宋_GBK"/>
          <w:sz w:val="32"/>
          <w:szCs w:val="32"/>
        </w:rPr>
        <w:t>3.具有对老年人进行自我保健指导的基本知识和能力。</w:t>
      </w:r>
    </w:p>
    <w:p>
      <w:pPr>
        <w:pStyle w:val="5"/>
        <w:spacing w:after="0" w:line="560" w:lineRule="exact"/>
        <w:ind w:firstLine="642" w:firstLineChars="200"/>
        <w:rPr>
          <w:rFonts w:ascii="方正仿宋_GBK" w:hAnsi="方正仿宋_GBK" w:eastAsia="方正仿宋_GBK" w:cs="方正仿宋_GBK"/>
          <w:sz w:val="32"/>
          <w:szCs w:val="32"/>
        </w:rPr>
      </w:pPr>
    </w:p>
    <w:p>
      <w:pPr>
        <w:rPr>
          <w:rFonts w:asciiTheme="minorEastAsia" w:hAnsiTheme="minorEastAsia" w:eastAsiaTheme="minorEastAsia"/>
          <w:bCs/>
          <w:sz w:val="28"/>
          <w:szCs w:val="28"/>
        </w:rPr>
        <w:sectPr>
          <w:headerReference r:id="rId3" w:type="default"/>
          <w:footerReference r:id="rId4" w:type="default"/>
          <w:pgSz w:w="11906" w:h="16838"/>
          <w:pgMar w:top="1417" w:right="1417" w:bottom="1417" w:left="1417" w:header="851" w:footer="992" w:gutter="0"/>
          <w:cols w:space="0" w:num="1"/>
          <w:docGrid w:type="linesAndChars" w:linePitch="312" w:charSpace="409"/>
        </w:sectPr>
      </w:pPr>
    </w:p>
    <w:p>
      <w:pPr>
        <w:pStyle w:val="2"/>
        <w:spacing w:before="0" w:after="0" w:line="560" w:lineRule="exact"/>
        <w:ind w:firstLine="642" w:firstLineChars="200"/>
        <w:rPr>
          <w:rFonts w:ascii="方正黑体_GBK" w:hAnsi="方正黑体_GBK" w:eastAsia="方正黑体_GBK" w:cs="方正黑体_GBK"/>
          <w:bCs w:val="0"/>
          <w:sz w:val="32"/>
          <w:szCs w:val="32"/>
        </w:rPr>
      </w:pPr>
      <w:bookmarkStart w:id="11" w:name="_Toc108031851"/>
      <w:r>
        <w:rPr>
          <w:rFonts w:hint="eastAsia" w:ascii="方正黑体_GBK" w:hAnsi="方正黑体_GBK" w:eastAsia="方正黑体_GBK" w:cs="方正黑体_GBK"/>
          <w:bCs w:val="0"/>
          <w:sz w:val="32"/>
          <w:szCs w:val="32"/>
        </w:rPr>
        <w:t>六、课程设置及要求</w:t>
      </w:r>
      <w:bookmarkEnd w:id="11"/>
    </w:p>
    <w:p>
      <w:pPr>
        <w:pStyle w:val="3"/>
        <w:rPr>
          <w:rFonts w:ascii="方正楷体_GBK" w:hAnsi="方正楷体_GBK" w:eastAsia="方正楷体_GBK" w:cs="方正楷体_GBK"/>
          <w:b w:val="0"/>
          <w:bCs w:val="0"/>
          <w:color w:val="FF0000"/>
        </w:rPr>
      </w:pPr>
      <w:bookmarkStart w:id="12" w:name="_Toc108031852"/>
      <w:r>
        <w:drawing>
          <wp:anchor distT="0" distB="0" distL="114300" distR="114300" simplePos="0" relativeHeight="251659264" behindDoc="0" locked="0" layoutInCell="1" allowOverlap="1">
            <wp:simplePos x="0" y="0"/>
            <wp:positionH relativeFrom="column">
              <wp:posOffset>-123190</wp:posOffset>
            </wp:positionH>
            <wp:positionV relativeFrom="paragraph">
              <wp:posOffset>628015</wp:posOffset>
            </wp:positionV>
            <wp:extent cx="8891905" cy="4747895"/>
            <wp:effectExtent l="0" t="0" r="4445"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8891905" cy="4747895"/>
                    </a:xfrm>
                    <a:prstGeom prst="rect">
                      <a:avLst/>
                    </a:prstGeom>
                  </pic:spPr>
                </pic:pic>
              </a:graphicData>
            </a:graphic>
          </wp:anchor>
        </w:drawing>
      </w:r>
      <w:r>
        <w:rPr>
          <w:rFonts w:hint="eastAsia" w:ascii="方正楷体_GBK" w:hAnsi="方正楷体_GBK" w:eastAsia="方正楷体_GBK" w:cs="方正楷体_GBK"/>
          <w:b w:val="0"/>
          <w:bCs w:val="0"/>
        </w:rPr>
        <w:t>（一）课程结构</w:t>
      </w:r>
      <w:bookmarkEnd w:id="12"/>
    </w:p>
    <w:p>
      <w:pPr>
        <w:spacing w:line="560" w:lineRule="exact"/>
        <w:ind w:firstLine="422" w:firstLineChars="200"/>
        <w:rPr>
          <w:rFonts w:hint="eastAsia"/>
        </w:rPr>
      </w:pPr>
    </w:p>
    <w:p>
      <w:pPr>
        <w:spacing w:line="560" w:lineRule="exact"/>
        <w:ind w:firstLine="422" w:firstLineChars="200"/>
        <w:sectPr>
          <w:pgSz w:w="16838" w:h="11906" w:orient="landscape"/>
          <w:pgMar w:top="1417" w:right="1417" w:bottom="1417" w:left="1417" w:header="851" w:footer="992" w:gutter="0"/>
          <w:cols w:space="0" w:num="1"/>
          <w:docGrid w:type="linesAndChars" w:linePitch="312" w:charSpace="409"/>
        </w:sectPr>
      </w:pPr>
    </w:p>
    <w:p>
      <w:pPr>
        <w:pStyle w:val="3"/>
        <w:spacing w:before="0" w:after="0" w:line="560" w:lineRule="exact"/>
        <w:ind w:firstLine="650" w:firstLineChars="200"/>
        <w:rPr>
          <w:rFonts w:ascii="方正楷体_GBK" w:hAnsi="方正楷体_GBK" w:eastAsia="方正楷体_GBK" w:cs="方正楷体_GBK"/>
          <w:bCs w:val="0"/>
        </w:rPr>
      </w:pPr>
      <w:bookmarkStart w:id="13" w:name="_Toc108031853"/>
      <w:r>
        <w:rPr>
          <w:rFonts w:hint="eastAsia" w:ascii="方正楷体_GBK" w:hAnsi="方正楷体_GBK" w:eastAsia="方正楷体_GBK" w:cs="方正楷体_GBK"/>
          <w:bCs w:val="0"/>
        </w:rPr>
        <w:t>（二）课程设置及要求</w:t>
      </w:r>
      <w:bookmarkEnd w:id="13"/>
    </w:p>
    <w:p>
      <w:pPr>
        <w:pStyle w:val="43"/>
        <w:spacing w:line="560" w:lineRule="exact"/>
        <w:ind w:firstLine="650" w:firstLineChars="200"/>
        <w:rPr>
          <w:rFonts w:ascii="方正仿宋_GBK" w:eastAsia="方正仿宋_GBK"/>
          <w:sz w:val="32"/>
          <w:szCs w:val="32"/>
        </w:rPr>
      </w:pPr>
      <w:r>
        <w:rPr>
          <w:rFonts w:hint="eastAsia" w:ascii="方正仿宋_GBK" w:eastAsia="方正仿宋_GBK"/>
          <w:sz w:val="32"/>
          <w:szCs w:val="32"/>
        </w:rPr>
        <w:t>本专业的课程设置分为公共基础课程和专业技能课程。将思想政治教育和“三全育人”等改革要求融入专业课程，把立德树人贯彻到思想道德教育、文化知识教育、技术技能培养、顶岗实习教育等环节。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eastAsia="方正仿宋_GBK"/>
          <w:sz w:val="32"/>
          <w:szCs w:val="32"/>
        </w:rPr>
        <w:t>根据学生全面发展，公共基础课包括必修课和选修课，选修课包括限定选修课和任意选修课。专业技能课包括专业核心课、专业技能（方向）课和专业选修课，综合实践是专业（技能）课教学的重要内容，含岗位认知、岗位见习和岗位实习等多种形式。</w:t>
      </w:r>
      <w:r>
        <w:rPr>
          <w:rFonts w:ascii="方正仿宋_GBK" w:hAnsi="方正仿宋_GBK" w:eastAsia="方正仿宋_GBK" w:cs="方正仿宋_GBK"/>
          <w:sz w:val="32"/>
          <w:szCs w:val="32"/>
        </w:rPr>
        <w:t xml:space="preserve"> </w:t>
      </w:r>
    </w:p>
    <w:p>
      <w:pPr>
        <w:spacing w:line="560" w:lineRule="exact"/>
        <w:ind w:firstLine="650" w:firstLineChars="200"/>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b/>
          <w:spacing w:val="-2"/>
          <w:kern w:val="0"/>
          <w:sz w:val="32"/>
          <w:szCs w:val="32"/>
        </w:rPr>
        <w:t>1.公共基础课程</w:t>
      </w: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（1）公共基础必修课</w:t>
      </w:r>
    </w:p>
    <w:tbl>
      <w:tblPr>
        <w:tblStyle w:val="15"/>
        <w:tblW w:w="9214" w:type="dxa"/>
        <w:tblInd w:w="108" w:type="dxa"/>
        <w:tblLayout w:type="fixed"/>
        <w:tblCellMar>
          <w:top w:w="0" w:type="dxa"/>
          <w:left w:w="108" w:type="dxa"/>
          <w:bottom w:w="0" w:type="dxa"/>
          <w:right w:w="108" w:type="dxa"/>
        </w:tblCellMar>
      </w:tblPr>
      <w:tblGrid>
        <w:gridCol w:w="851"/>
        <w:gridCol w:w="1559"/>
        <w:gridCol w:w="5528"/>
        <w:gridCol w:w="1276"/>
      </w:tblGrid>
      <w:tr>
        <w:tblPrEx>
          <w:tblCellMar>
            <w:top w:w="0" w:type="dxa"/>
            <w:left w:w="108" w:type="dxa"/>
            <w:bottom w:w="0" w:type="dxa"/>
            <w:right w:w="108" w:type="dxa"/>
          </w:tblCellMar>
        </w:tblPrEx>
        <w:trPr>
          <w:trHeight w:val="458"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
                <w:bCs/>
                <w:sz w:val="24"/>
                <w:szCs w:val="24"/>
              </w:rPr>
            </w:pPr>
            <w:r>
              <w:rPr>
                <w:rFonts w:hint="eastAsia" w:ascii="方正仿宋_GBK" w:hAnsi="仿宋" w:eastAsia="方正仿宋_GBK" w:cs="方正仿宋_GBK"/>
                <w:b/>
                <w:bCs/>
                <w:sz w:val="24"/>
                <w:szCs w:val="24"/>
              </w:rPr>
              <w:t>序号</w:t>
            </w:r>
          </w:p>
        </w:tc>
        <w:tc>
          <w:tcPr>
            <w:tcW w:w="1559"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bCs/>
                <w:sz w:val="24"/>
                <w:szCs w:val="24"/>
              </w:rPr>
            </w:pPr>
            <w:r>
              <w:rPr>
                <w:rFonts w:hint="eastAsia" w:ascii="方正仿宋_GBK" w:hAnsi="仿宋" w:eastAsia="方正仿宋_GBK" w:cs="方正仿宋_GBK"/>
                <w:b/>
                <w:bCs/>
                <w:sz w:val="24"/>
                <w:szCs w:val="24"/>
              </w:rPr>
              <w:t>课程名称</w:t>
            </w:r>
          </w:p>
        </w:tc>
        <w:tc>
          <w:tcPr>
            <w:tcW w:w="5528"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color w:val="00B050"/>
                <w:sz w:val="24"/>
                <w:szCs w:val="24"/>
              </w:rPr>
            </w:pPr>
            <w:r>
              <w:rPr>
                <w:rFonts w:hint="eastAsia" w:ascii="方正仿宋_GBK" w:hAnsi="仿宋"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sz w:val="24"/>
                <w:szCs w:val="24"/>
              </w:rPr>
            </w:pPr>
            <w:r>
              <w:rPr>
                <w:rFonts w:hint="eastAsia" w:ascii="方正仿宋_GBK" w:hAnsi="仿宋" w:eastAsia="方正仿宋_GBK" w:cs="方正仿宋_GBK"/>
                <w:b/>
                <w:sz w:val="24"/>
                <w:szCs w:val="24"/>
              </w:rPr>
              <w:t>参考课时</w:t>
            </w:r>
          </w:p>
        </w:tc>
      </w:tr>
      <w:tr>
        <w:tblPrEx>
          <w:tblCellMar>
            <w:top w:w="0" w:type="dxa"/>
            <w:left w:w="108" w:type="dxa"/>
            <w:bottom w:w="0" w:type="dxa"/>
            <w:right w:w="108" w:type="dxa"/>
          </w:tblCellMar>
        </w:tblPrEx>
        <w:trPr>
          <w:trHeight w:val="1130"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1</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思想政治1：中国特色社会主义</w:t>
            </w:r>
          </w:p>
        </w:tc>
        <w:tc>
          <w:tcPr>
            <w:tcW w:w="5528" w:type="dxa"/>
            <w:tcBorders>
              <w:top w:val="single" w:color="auto" w:sz="4" w:space="0"/>
              <w:left w:val="nil"/>
              <w:bottom w:val="single" w:color="auto" w:sz="4" w:space="0"/>
              <w:right w:val="single" w:color="auto" w:sz="4" w:space="0"/>
            </w:tcBorders>
            <w:vAlign w:val="center"/>
          </w:tcPr>
          <w:p>
            <w:pPr>
              <w:pStyle w:val="43"/>
              <w:spacing w:line="360" w:lineRule="exact"/>
              <w:jc w:val="both"/>
              <w:rPr>
                <w:rFonts w:ascii="方正仿宋_GBK" w:hAnsi="仿宋" w:eastAsia="方正仿宋_GBK" w:cs="仿宋"/>
              </w:rPr>
            </w:pPr>
            <w:r>
              <w:rPr>
                <w:rFonts w:hint="eastAsia" w:ascii="方正仿宋_GBK" w:hAnsi="仿宋" w:eastAsia="方正仿宋_GBK" w:cs="方正仿宋_GBK"/>
                <w:bCs/>
                <w:color w:val="auto"/>
                <w:kern w:val="2"/>
              </w:rPr>
              <w:t>依据教育部</w:t>
            </w:r>
            <w:r>
              <w:rPr>
                <w:rFonts w:hint="eastAsia" w:ascii="方正仿宋_GBK" w:hAnsi="仿宋" w:eastAsia="方正仿宋_GBK" w:cs="仿宋"/>
              </w:rPr>
              <w:t>《中等职业学校思想政治课程标准》</w:t>
            </w:r>
            <w:r>
              <w:rPr>
                <w:rFonts w:hint="eastAsia" w:ascii="方正仿宋_GBK" w:hAnsi="仿宋" w:eastAsia="方正仿宋_GBK" w:cs="方正仿宋_GBK"/>
                <w:bCs/>
                <w:color w:val="auto"/>
                <w:kern w:val="2"/>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2</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思想政治2：心理健康与职业生涯规划</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思想政治3：职业道德与法治</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4</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思想政治4：哲学与人生</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r>
              <w:rPr>
                <w:rFonts w:hint="eastAsia" w:ascii="方正仿宋_GBK" w:hAnsi="仿宋" w:eastAsia="方正仿宋_GBK" w:cs="仿宋"/>
                <w:sz w:val="24"/>
                <w:szCs w:val="24"/>
              </w:rPr>
              <w:t xml:space="preserve"> </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5</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劳动教育</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 xml:space="preserve">依据《中等职业学校劳动教育课程标准》开设，帮助学生树立马克思主义劳动观，积累劳动经验，培养劳动习惯。 </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6</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语文</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依据教育部《中等职业学校语文课程标准》开设，并与学生专业能力发展和职业岗位需求密切结合。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216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7</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数学</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依据教育部《中等职业学校数学课程标准》开设，并与学生专业能力发展和职业岗位需求密切结合。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8</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英语</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依据教育部《中等职业学校英语课程标准》开设，并与学生专业能力发展和职业岗位需求密切结合。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9</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历史</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依据教育部《中等职业学校历史课程标准》开设，并与学生专业能力发展和职业岗位需求密切结合。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10</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信息技术</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依据教育部《中等职业学校信息技术课程标准》开设，并与学生专业能力发展和职业岗位需求密切结合。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11</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体育与健康</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依据教育部《中等职业学校体育与健康课程标准》开设，并与学生专业能力发展和职业岗位需求密切结合。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12</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艺术</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依据教育部《中等职业学校艺术课程标准》开设，并与学生专业能力发展和职业岗位需求密切结合。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bl>
    <w:p>
      <w:pPr>
        <w:spacing w:line="560" w:lineRule="exact"/>
        <w:ind w:firstLine="650" w:firstLineChars="200"/>
        <w:rPr>
          <w:rFonts w:ascii="方正仿宋_GBK" w:hAnsi="方正仿宋_GBK" w:eastAsia="方正仿宋_GBK" w:cs="方正仿宋_GBK"/>
          <w:b/>
          <w:sz w:val="32"/>
          <w:szCs w:val="32"/>
        </w:rPr>
      </w:pP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（2）限定选修课</w:t>
      </w:r>
    </w:p>
    <w:p>
      <w:pPr>
        <w:spacing w:line="560" w:lineRule="exact"/>
        <w:ind w:firstLine="650" w:firstLineChars="200"/>
        <w:rPr>
          <w:rFonts w:ascii="方正仿宋_GBK" w:eastAsia="方正仿宋_GBK"/>
          <w:sz w:val="32"/>
          <w:szCs w:val="32"/>
        </w:rPr>
      </w:pPr>
      <w:r>
        <w:rPr>
          <w:rFonts w:hint="eastAsia" w:ascii="方正仿宋_GBK" w:eastAsia="方正仿宋_GBK"/>
          <w:sz w:val="32"/>
          <w:szCs w:val="32"/>
        </w:rPr>
        <w:t>为培养岗位职业道德、人文素养，开设医学人文素养、人际沟通等4门课程，学生需完成3门课程的选修。</w:t>
      </w:r>
    </w:p>
    <w:tbl>
      <w:tblPr>
        <w:tblStyle w:val="15"/>
        <w:tblW w:w="9214" w:type="dxa"/>
        <w:tblInd w:w="108" w:type="dxa"/>
        <w:tblLayout w:type="fixed"/>
        <w:tblCellMar>
          <w:top w:w="0" w:type="dxa"/>
          <w:left w:w="108" w:type="dxa"/>
          <w:bottom w:w="0" w:type="dxa"/>
          <w:right w:w="108" w:type="dxa"/>
        </w:tblCellMar>
      </w:tblPr>
      <w:tblGrid>
        <w:gridCol w:w="864"/>
        <w:gridCol w:w="1263"/>
        <w:gridCol w:w="5518"/>
        <w:gridCol w:w="1569"/>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263"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518"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color w:val="00B050"/>
                <w:sz w:val="24"/>
                <w:szCs w:val="24"/>
              </w:rPr>
            </w:pPr>
            <w:r>
              <w:rPr>
                <w:rFonts w:hint="eastAsia" w:ascii="方正仿宋_GBK" w:hAnsi="方正仿宋_GBK" w:eastAsia="方正仿宋_GBK" w:cs="方正仿宋_GBK"/>
                <w:b/>
                <w:sz w:val="24"/>
                <w:szCs w:val="24"/>
              </w:rPr>
              <w:t>教学内容和要求</w:t>
            </w:r>
          </w:p>
        </w:tc>
        <w:tc>
          <w:tcPr>
            <w:tcW w:w="156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263"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医学人文</w:t>
            </w:r>
          </w:p>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素养</w:t>
            </w:r>
          </w:p>
        </w:tc>
        <w:tc>
          <w:tcPr>
            <w:tcW w:w="5518" w:type="dxa"/>
            <w:tcBorders>
              <w:top w:val="single" w:color="auto" w:sz="4" w:space="0"/>
              <w:left w:val="nil"/>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掌握基本的人文知识、养成基本的行为规范和基本的品格,从而为学生能够顺利走向临床工作岗位,达到临床医务工作所需的人文素质奠定基础。</w:t>
            </w:r>
          </w:p>
        </w:tc>
        <w:tc>
          <w:tcPr>
            <w:tcW w:w="1569"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1263"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人际沟通</w:t>
            </w:r>
          </w:p>
        </w:tc>
        <w:tc>
          <w:tcPr>
            <w:tcW w:w="5518" w:type="dxa"/>
            <w:tcBorders>
              <w:top w:val="single" w:color="auto" w:sz="4" w:space="0"/>
              <w:left w:val="nil"/>
              <w:right w:val="single" w:color="auto" w:sz="4" w:space="0"/>
            </w:tcBorders>
          </w:tcPr>
          <w:p>
            <w:pPr>
              <w:pStyle w:val="43"/>
              <w:spacing w:line="360" w:lineRule="exact"/>
              <w:jc w:val="both"/>
              <w:rPr>
                <w:rFonts w:ascii="方正仿宋_GBK" w:eastAsia="方正仿宋_GBK"/>
              </w:rPr>
            </w:pPr>
            <w:r>
              <w:rPr>
                <w:rFonts w:hint="eastAsia" w:ascii="方正仿宋_GBK" w:eastAsia="方正仿宋_GBK"/>
              </w:rPr>
              <w:t>掌握人际沟通的相关理论和技巧，全面培养学生的沟通实践能力，提高其综合素质和社会适应性，为学生专业能力的发挥和可持续发展打下良好基础</w:t>
            </w:r>
          </w:p>
          <w:p>
            <w:pPr>
              <w:spacing w:line="360" w:lineRule="exact"/>
              <w:rPr>
                <w:rFonts w:ascii="方正仿宋_GBK" w:hAnsi="方正仿宋_GBK" w:eastAsia="方正仿宋_GBK" w:cs="方正仿宋_GBK"/>
                <w:bCs/>
                <w:sz w:val="24"/>
                <w:szCs w:val="24"/>
              </w:rPr>
            </w:pPr>
          </w:p>
        </w:tc>
        <w:tc>
          <w:tcPr>
            <w:tcW w:w="1569"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126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护理礼仪</w:t>
            </w:r>
          </w:p>
        </w:tc>
        <w:tc>
          <w:tcPr>
            <w:tcW w:w="5518" w:type="dxa"/>
            <w:tcBorders>
              <w:top w:val="single" w:color="auto" w:sz="4" w:space="0"/>
              <w:left w:val="nil"/>
              <w:bottom w:val="single" w:color="auto" w:sz="4" w:space="0"/>
              <w:right w:val="single" w:color="auto" w:sz="4" w:space="0"/>
            </w:tcBorders>
          </w:tcPr>
          <w:p>
            <w:pPr>
              <w:pStyle w:val="43"/>
              <w:spacing w:line="360" w:lineRule="exact"/>
              <w:jc w:val="both"/>
              <w:rPr>
                <w:rFonts w:ascii="方正仿宋_GBK" w:hAnsi="方正仿宋_GBK" w:eastAsia="方正仿宋_GBK" w:cs="方正仿宋_GBK"/>
                <w:bCs/>
              </w:rPr>
            </w:pPr>
            <w:r>
              <w:rPr>
                <w:rFonts w:hint="eastAsia" w:ascii="方正仿宋_GBK" w:eastAsia="方正仿宋_GBK"/>
              </w:rPr>
              <w:t>掌握礼仪基本内涵，了解礼仪知识，懂得遵守礼仪规范的重要性。掌握护理礼仪的内容、特征和规范，能在实际工作中加以运用，提高从事护理工作的实际能力。培养学生的现代交际素质，适应社会发展和护理职业的需要。</w:t>
            </w:r>
          </w:p>
        </w:tc>
        <w:tc>
          <w:tcPr>
            <w:tcW w:w="1569"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126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医用化学基础</w:t>
            </w:r>
          </w:p>
        </w:tc>
        <w:tc>
          <w:tcPr>
            <w:tcW w:w="5518"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依据教育部《中等职业医用化学基础课程标准课程标准》开设，并与学生专业能力发展和职业岗位需求密切结合。</w:t>
            </w:r>
          </w:p>
        </w:tc>
        <w:tc>
          <w:tcPr>
            <w:tcW w:w="1569"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autoSpaceDE w:val="0"/>
        <w:autoSpaceDN w:val="0"/>
        <w:spacing w:line="360" w:lineRule="auto"/>
        <w:ind w:firstLine="636" w:firstLineChars="196"/>
        <w:jc w:val="left"/>
        <w:rPr>
          <w:rFonts w:hint="eastAsia" w:ascii="方正仿宋_GBK" w:hAnsi="方正仿宋_GBK" w:eastAsia="方正仿宋_GBK" w:cs="方正仿宋_GBK"/>
          <w:b/>
          <w:sz w:val="32"/>
          <w:szCs w:val="32"/>
        </w:rPr>
      </w:pPr>
    </w:p>
    <w:p>
      <w:pPr>
        <w:autoSpaceDE w:val="0"/>
        <w:autoSpaceDN w:val="0"/>
        <w:spacing w:line="360" w:lineRule="auto"/>
        <w:ind w:firstLine="636" w:firstLineChars="196"/>
        <w:jc w:val="left"/>
        <w:rPr>
          <w:rFonts w:ascii="方正仿宋_GBK" w:hAnsi="方正仿宋_GBK" w:eastAsia="方正仿宋_GBK" w:cs="方正仿宋_GBK"/>
          <w:b/>
          <w:sz w:val="32"/>
          <w:szCs w:val="32"/>
        </w:rPr>
      </w:pPr>
    </w:p>
    <w:p>
      <w:pPr>
        <w:autoSpaceDE w:val="0"/>
        <w:autoSpaceDN w:val="0"/>
        <w:spacing w:line="360" w:lineRule="auto"/>
        <w:ind w:firstLine="636" w:firstLineChars="196"/>
        <w:jc w:val="left"/>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（3）任意选修课</w:t>
      </w:r>
    </w:p>
    <w:p>
      <w:pPr>
        <w:autoSpaceDE w:val="0"/>
        <w:autoSpaceDN w:val="0"/>
        <w:spacing w:line="560" w:lineRule="exact"/>
        <w:ind w:firstLine="650" w:firstLineChars="200"/>
        <w:jc w:val="left"/>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任意选修课包括优秀传统文化、仁道文化等3门课程 ，以专题讲座得形式开展，不计入课程总学时。</w:t>
      </w:r>
    </w:p>
    <w:tbl>
      <w:tblPr>
        <w:tblStyle w:val="15"/>
        <w:tblW w:w="9214" w:type="dxa"/>
        <w:tblInd w:w="108" w:type="dxa"/>
        <w:tblLayout w:type="fixed"/>
        <w:tblCellMar>
          <w:top w:w="0" w:type="dxa"/>
          <w:left w:w="108" w:type="dxa"/>
          <w:bottom w:w="0" w:type="dxa"/>
          <w:right w:w="108" w:type="dxa"/>
        </w:tblCellMar>
      </w:tblPr>
      <w:tblGrid>
        <w:gridCol w:w="864"/>
        <w:gridCol w:w="1546"/>
        <w:gridCol w:w="5387"/>
        <w:gridCol w:w="1417"/>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54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387"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color w:val="00B050"/>
                <w:sz w:val="24"/>
                <w:szCs w:val="24"/>
              </w:rPr>
            </w:pPr>
            <w:r>
              <w:rPr>
                <w:rFonts w:hint="eastAsia" w:ascii="方正仿宋_GBK" w:hAnsi="方正仿宋_GBK" w:eastAsia="方正仿宋_GBK" w:cs="方正仿宋_GBK"/>
                <w:b/>
                <w:sz w:val="24"/>
                <w:szCs w:val="24"/>
              </w:rPr>
              <w:t>教学内容和要求</w:t>
            </w:r>
          </w:p>
        </w:tc>
        <w:tc>
          <w:tcPr>
            <w:tcW w:w="1417"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54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优秀传统</w:t>
            </w:r>
          </w:p>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文化</w:t>
            </w:r>
          </w:p>
        </w:tc>
        <w:tc>
          <w:tcPr>
            <w:tcW w:w="5387"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中华诗词、汉字汉语、书画、民族乐器、戏曲、传统节日、中华武术、传统服饰、传统手工艺，感知中华传统文化的博大精深，增强学生民族文化认同感和民族自豪感，树立正确的传统文化观念，促进学生形成正确的世界观、人生观、价值观。</w:t>
            </w:r>
          </w:p>
        </w:tc>
        <w:tc>
          <w:tcPr>
            <w:tcW w:w="1417"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color w:val="FF0000"/>
                <w:sz w:val="24"/>
                <w:szCs w:val="24"/>
              </w:rPr>
            </w:pPr>
            <w:r>
              <w:rPr>
                <w:rFonts w:hint="eastAsia" w:ascii="方正仿宋_GBK" w:hAnsi="方正仿宋_GBK" w:eastAsia="方正仿宋_GBK" w:cs="方正仿宋_GBK"/>
                <w:sz w:val="24"/>
                <w:szCs w:val="24"/>
              </w:rPr>
              <w:t>2</w:t>
            </w:r>
          </w:p>
        </w:tc>
        <w:tc>
          <w:tcPr>
            <w:tcW w:w="154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仁道文化</w:t>
            </w:r>
          </w:p>
        </w:tc>
        <w:tc>
          <w:tcPr>
            <w:tcW w:w="5387"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黄帝内经·素问》中强调：“医术，乃仁术也”。医护服务对象是人，医护服务的内容即是“仁”的集中表现。强化护生“仁”的意识，使之成为自身的内在职业素养，并使之外化为将来尊重、关爱、贴心服务于患者的护理行为，是护理专业学生仁道文化的的核心内容。</w:t>
            </w:r>
          </w:p>
        </w:tc>
        <w:tc>
          <w:tcPr>
            <w:tcW w:w="1417"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pStyle w:val="34"/>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3</w:t>
            </w:r>
          </w:p>
        </w:tc>
        <w:tc>
          <w:tcPr>
            <w:tcW w:w="1546" w:type="dxa"/>
            <w:tcBorders>
              <w:top w:val="single" w:color="auto" w:sz="4" w:space="0"/>
              <w:left w:val="nil"/>
              <w:bottom w:val="single" w:color="auto" w:sz="4" w:space="0"/>
              <w:right w:val="single" w:color="auto" w:sz="4" w:space="0"/>
            </w:tcBorders>
            <w:vAlign w:val="center"/>
          </w:tcPr>
          <w:p>
            <w:pPr>
              <w:pStyle w:val="34"/>
              <w:spacing w:before="53" w:line="360" w:lineRule="exact"/>
              <w:ind w:left="65" w:right="2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color w:val="000000" w:themeColor="text1"/>
                <w:w w:val="105"/>
                <w:sz w:val="24"/>
                <w:szCs w:val="24"/>
                <w14:textFill>
                  <w14:solidFill>
                    <w14:schemeClr w14:val="tx1"/>
                  </w14:solidFill>
                </w14:textFill>
              </w:rPr>
              <w:t>安全教育</w:t>
            </w:r>
          </w:p>
        </w:tc>
        <w:tc>
          <w:tcPr>
            <w:tcW w:w="5387" w:type="dxa"/>
            <w:tcBorders>
              <w:top w:val="single" w:color="auto" w:sz="4" w:space="0"/>
              <w:left w:val="nil"/>
              <w:bottom w:val="single" w:color="auto" w:sz="4" w:space="0"/>
              <w:right w:val="single" w:color="auto" w:sz="4" w:space="0"/>
            </w:tcBorders>
          </w:tcPr>
          <w:p>
            <w:pPr>
              <w:adjustRightInd w:val="0"/>
              <w:snapToGrid w:val="0"/>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color w:val="000000" w:themeColor="text1"/>
                <w:spacing w:val="-2"/>
                <w:kern w:val="0"/>
                <w:sz w:val="24"/>
                <w:szCs w:val="24"/>
                <w14:textFill>
                  <w14:solidFill>
                    <w14:schemeClr w14:val="tx1"/>
                  </w14:solidFill>
                </w14:textFill>
              </w:rPr>
              <w:t>了解安全基本知识，掌握与安全问题相关的法律法规和校纪校规，帮助学生牢固树立“珍爱生命，安全第一，遵纪守法，和谐共处”的意识，具备自救自护的素养和能力。</w:t>
            </w:r>
          </w:p>
        </w:tc>
        <w:tc>
          <w:tcPr>
            <w:tcW w:w="1417" w:type="dxa"/>
            <w:tcBorders>
              <w:top w:val="single" w:color="auto" w:sz="4" w:space="0"/>
              <w:left w:val="nil"/>
              <w:bottom w:val="single" w:color="auto" w:sz="4" w:space="0"/>
              <w:right w:val="single" w:color="auto" w:sz="4" w:space="0"/>
            </w:tcBorders>
            <w:vAlign w:val="center"/>
          </w:tcPr>
          <w:p>
            <w:pPr>
              <w:pStyle w:val="34"/>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bl>
    <w:p>
      <w:pPr>
        <w:spacing w:line="560" w:lineRule="exact"/>
        <w:ind w:firstLine="642" w:firstLineChars="200"/>
        <w:rPr>
          <w:rFonts w:ascii="方正仿宋_GBK" w:hAnsi="方正仿宋_GBK" w:eastAsia="方正仿宋_GBK" w:cs="方正仿宋_GBK"/>
          <w:b/>
          <w:spacing w:val="-2"/>
          <w:kern w:val="0"/>
          <w:sz w:val="32"/>
          <w:szCs w:val="32"/>
        </w:rPr>
      </w:pPr>
    </w:p>
    <w:p>
      <w:pPr>
        <w:spacing w:line="560" w:lineRule="exact"/>
        <w:ind w:firstLine="642" w:firstLineChars="200"/>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2. 专业技能课程</w:t>
      </w: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（1）专业核心课程</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4"/>
              <w:spacing w:before="1"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1</w:t>
            </w:r>
          </w:p>
        </w:tc>
        <w:tc>
          <w:tcPr>
            <w:tcW w:w="1843" w:type="dxa"/>
            <w:tcBorders>
              <w:top w:val="single" w:color="auto" w:sz="4" w:space="0"/>
              <w:left w:val="nil"/>
              <w:bottom w:val="single" w:color="auto" w:sz="4" w:space="0"/>
              <w:right w:val="single" w:color="auto" w:sz="4" w:space="0"/>
            </w:tcBorders>
            <w:vAlign w:val="center"/>
          </w:tcPr>
          <w:p>
            <w:pPr>
              <w:pStyle w:val="34"/>
              <w:spacing w:before="142" w:line="360" w:lineRule="exact"/>
              <w:ind w:left="65" w:right="4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解剖学基础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人体胚胎发育概况，熟悉正常人体的组织结构，掌握正常人体的组成、各系统主要器官的形态和位置，能识别各系统主要器官的形态、结构，能规范的进行基本实践操作，会运用解剖学基本知识分析、解释临床问题。</w:t>
            </w:r>
          </w:p>
        </w:tc>
        <w:tc>
          <w:tcPr>
            <w:tcW w:w="1276" w:type="dxa"/>
            <w:tcBorders>
              <w:top w:val="single" w:color="auto" w:sz="4" w:space="0"/>
              <w:left w:val="nil"/>
              <w:bottom w:val="single" w:color="auto" w:sz="4" w:space="0"/>
              <w:right w:val="single" w:color="auto" w:sz="4" w:space="0"/>
            </w:tcBorders>
            <w:vAlign w:val="center"/>
          </w:tcPr>
          <w:p>
            <w:pPr>
              <w:pStyle w:val="34"/>
              <w:spacing w:before="1" w:line="360" w:lineRule="exact"/>
              <w:ind w:left="121" w:right="96"/>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90</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4"/>
              <w:spacing w:before="127"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2</w:t>
            </w:r>
          </w:p>
        </w:tc>
        <w:tc>
          <w:tcPr>
            <w:tcW w:w="1843" w:type="dxa"/>
            <w:tcBorders>
              <w:top w:val="single" w:color="auto" w:sz="4" w:space="0"/>
              <w:left w:val="nil"/>
              <w:bottom w:val="single" w:color="auto" w:sz="4" w:space="0"/>
              <w:right w:val="single" w:color="auto" w:sz="4" w:space="0"/>
            </w:tcBorders>
            <w:vAlign w:val="center"/>
          </w:tcPr>
          <w:p>
            <w:pPr>
              <w:pStyle w:val="34"/>
              <w:spacing w:before="34" w:line="360" w:lineRule="exact"/>
              <w:ind w:left="65" w:right="-15"/>
              <w:jc w:val="center"/>
              <w:rPr>
                <w:rFonts w:ascii="方正仿宋_GBK" w:hAnsi="方正仿宋_GBK" w:eastAsia="方正仿宋_GBK" w:cs="方正仿宋_GBK"/>
                <w:sz w:val="24"/>
                <w:szCs w:val="24"/>
              </w:rPr>
            </w:pPr>
            <w:r>
              <w:rPr>
                <w:rFonts w:hint="eastAsia" w:ascii="方正仿宋_GBK" w:hAnsi="方正仿宋_GBK" w:eastAsia="方正仿宋_GBK" w:cs="方正仿宋_GBK"/>
                <w:spacing w:val="30"/>
                <w:sz w:val="24"/>
                <w:szCs w:val="24"/>
              </w:rPr>
              <w:t>生理学基</w:t>
            </w:r>
            <w:r>
              <w:rPr>
                <w:rFonts w:hint="eastAsia" w:ascii="方正仿宋_GBK" w:hAnsi="方正仿宋_GBK" w:eastAsia="方正仿宋_GBK" w:cs="方正仿宋_GBK"/>
                <w:spacing w:val="15"/>
                <w:sz w:val="24"/>
                <w:szCs w:val="24"/>
              </w:rPr>
              <w:t>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了解生理学的研究内容和任务，掌握人体及其各器官系统的主要生理功能，能运用生理学知识解释各种生理现象，为学习护理专业知识奠定理论基础</w:t>
            </w:r>
          </w:p>
        </w:tc>
        <w:tc>
          <w:tcPr>
            <w:tcW w:w="1276" w:type="dxa"/>
            <w:tcBorders>
              <w:top w:val="single" w:color="auto" w:sz="4" w:space="0"/>
              <w:left w:val="nil"/>
              <w:bottom w:val="single" w:color="auto" w:sz="4" w:space="0"/>
              <w:right w:val="single" w:color="auto" w:sz="4" w:space="0"/>
            </w:tcBorders>
            <w:vAlign w:val="center"/>
          </w:tcPr>
          <w:p>
            <w:pPr>
              <w:pStyle w:val="34"/>
              <w:spacing w:before="127" w:line="360" w:lineRule="exact"/>
              <w:ind w:left="121" w:right="96"/>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4"/>
              <w:spacing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3</w:t>
            </w:r>
          </w:p>
        </w:tc>
        <w:tc>
          <w:tcPr>
            <w:tcW w:w="1843" w:type="dxa"/>
            <w:tcBorders>
              <w:top w:val="single" w:color="auto" w:sz="4" w:space="0"/>
              <w:left w:val="nil"/>
              <w:bottom w:val="single" w:color="auto" w:sz="4" w:space="0"/>
              <w:right w:val="single" w:color="auto" w:sz="4" w:space="0"/>
            </w:tcBorders>
            <w:vAlign w:val="center"/>
          </w:tcPr>
          <w:p>
            <w:pPr>
              <w:pStyle w:val="34"/>
              <w:spacing w:before="1" w:line="360" w:lineRule="exact"/>
              <w:ind w:left="65" w:right="4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药物应用护理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临床常用药物的作用、用途，药物不良反应的基本知识，能观察药物疗效和不良反应，能对常见疾病非处方药物进行用药指导和药物咨询，具有对常用药物制剂进行外观检查、查阅药物相互作用、检索配伍禁忌与准确换算药物剂量的能力，初步具备药物应用过程的护理技能。</w:t>
            </w:r>
          </w:p>
        </w:tc>
        <w:tc>
          <w:tcPr>
            <w:tcW w:w="1276" w:type="dxa"/>
            <w:tcBorders>
              <w:top w:val="single" w:color="auto" w:sz="4" w:space="0"/>
              <w:left w:val="nil"/>
              <w:bottom w:val="single" w:color="auto" w:sz="4" w:space="0"/>
              <w:right w:val="single" w:color="auto" w:sz="4" w:space="0"/>
            </w:tcBorders>
            <w:vAlign w:val="center"/>
          </w:tcPr>
          <w:p>
            <w:pPr>
              <w:pStyle w:val="34"/>
              <w:spacing w:before="12" w:line="360" w:lineRule="exact"/>
              <w:jc w:val="center"/>
              <w:rPr>
                <w:rFonts w:ascii="方正仿宋_GBK" w:hAnsi="方正仿宋_GBK" w:eastAsia="方正仿宋_GBK" w:cs="方正仿宋_GBK"/>
                <w:sz w:val="24"/>
                <w:szCs w:val="24"/>
              </w:rPr>
            </w:pPr>
          </w:p>
          <w:p>
            <w:pPr>
              <w:pStyle w:val="34"/>
              <w:spacing w:line="360" w:lineRule="exact"/>
              <w:ind w:left="121" w:right="96"/>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rPr>
              <w:t>4</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rPr>
              <w:t>护理学基础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熟悉护理的基本概念，初步掌握护理的基本理论，确立以护理对象为中心的护理理念，能应用护理程序指导实践，掌握基础护理技术操作方法，能规范、熟练地进行各项基础护理技术操作，能正确书写护理医疗文件，能初步分析和解决临床常见的护理问题。</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rPr>
              <w:t>5</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健康评估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心电图的基本知识，了解常用影像学检查的应用指征及检查前后的护理，掌握身体状况评估的方法、内容、结果判断及临床意义，掌握常用实验室检查的正常参考值及异常结果的临床意义，能正确进行系统全面的身体状况评估，能熟练进行各种实验标本的采集，能熟练进行心电图操作并识别正常心电图，能综合分析评估对象的生理、心理、社会资料并找出护理问题，能正确书写护理病历</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76"/>
                <w:sz w:val="24"/>
                <w:szCs w:val="24"/>
              </w:rPr>
              <w:t>6</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pacing w:val="-19"/>
                <w:w w:val="105"/>
                <w:sz w:val="24"/>
                <w:szCs w:val="24"/>
                <w:lang w:eastAsia="en-US"/>
              </w:rPr>
              <w:t>内科护</w:t>
            </w:r>
            <w:r>
              <w:rPr>
                <w:rFonts w:hint="eastAsia" w:ascii="方正仿宋_GBK" w:hAnsi="方正仿宋_GBK" w:eastAsia="方正仿宋_GBK" w:cs="方正仿宋_GBK"/>
                <w:w w:val="105"/>
                <w:sz w:val="24"/>
                <w:szCs w:val="24"/>
                <w:lang w:eastAsia="en-US"/>
              </w:rPr>
              <w:t>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内科常见疾病的概念，熟悉内科常见病患者的护理问题，掌握内科常见病的护理评估及护理措施，具有对内科常见病患者的病情变化、心理变化和治疗反应进行观察和初步分析及处理的能力，能正确书写内科护理记录，能配合医师对内科急危重症患者进行抢救，能配合医师实施内科常用诊疗技术操作，能运用内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126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7</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外科护理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外科有关疾病的概念，熟悉手术室基本工作内容，熟悉外科常见病的护理评估、护理措施，掌握外科常见急危重症的救护原则和方法，能配合医师对外科急危重症患者进行抢救，具有初步管理手术室和配合常见手术的能力，能运用外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108</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8</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妇产科护理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熟悉妇产科常见病的护理评估、护理问题，掌握妇产科护理的基本理论、基本知识，掌握妇产科常见病的护理措施，能配合医师对妇产科常见急危重症患者实施抢救，能配合医师正确地进行妇产科主要护理技术操作，能运用妇产科疾病预防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9</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pacing w:val="-19"/>
                <w:w w:val="105"/>
                <w:sz w:val="24"/>
                <w:szCs w:val="24"/>
                <w:lang w:eastAsia="en-US"/>
              </w:rPr>
              <w:t>儿 科护</w:t>
            </w:r>
            <w:r>
              <w:rPr>
                <w:rFonts w:hint="eastAsia" w:ascii="方正仿宋_GBK" w:hAnsi="方正仿宋_GBK" w:eastAsia="方正仿宋_GBK" w:cs="方正仿宋_GBK"/>
                <w:w w:val="105"/>
                <w:sz w:val="24"/>
                <w:szCs w:val="24"/>
                <w:lang w:eastAsia="en-US"/>
              </w:rPr>
              <w:t>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儿科常见疾病的概念，掌握小儿生长发育规律、营养与喂养、计划免疫等知识，掌握儿科常见疾病的护理评估、护理问题和护理措施，能配合医师进行儿科常用护理技术操作，能运用儿科疾病预防保健知识和人际沟通技巧向个体、家庭、社区提供儿童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bl>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（2）专业（技能）方向课</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lang w:eastAsia="en-US"/>
              </w:rPr>
              <w:t>1</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急救护理技</w:t>
            </w:r>
            <w:r>
              <w:rPr>
                <w:rFonts w:hint="eastAsia" w:ascii="方正仿宋_GBK" w:hAnsi="方正仿宋_GBK" w:eastAsia="方正仿宋_GBK" w:cs="方正仿宋_GBK"/>
                <w:w w:val="104"/>
                <w:sz w:val="24"/>
                <w:szCs w:val="24"/>
                <w:lang w:eastAsia="en-US"/>
              </w:rPr>
              <w:t>术</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了解急救医疗服务体系，熟悉院外急救的概念、任务和管理，掌握院外急救及护理，掌握医院急诊科管理，掌握常见急危重症患者的病情观察、救治原则及护理，能正确实施常用急救护理技术。</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4"/>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2</w:t>
            </w:r>
          </w:p>
        </w:tc>
        <w:tc>
          <w:tcPr>
            <w:tcW w:w="1843" w:type="dxa"/>
            <w:tcBorders>
              <w:top w:val="single" w:color="auto" w:sz="4" w:space="0"/>
              <w:left w:val="nil"/>
              <w:bottom w:val="single" w:color="auto" w:sz="4" w:space="0"/>
              <w:right w:val="single" w:color="auto" w:sz="4" w:space="0"/>
            </w:tcBorders>
            <w:vAlign w:val="center"/>
          </w:tcPr>
          <w:p>
            <w:pPr>
              <w:pStyle w:val="34"/>
              <w:spacing w:line="360" w:lineRule="exact"/>
              <w:ind w:left="64"/>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社区护理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熟悉社区卫生服务的内容和工作方法，熟悉社区环境中影响健康的因素和疾病三级预防策略，掌握不同人群社区保健护理工作要点，掌握慢性病和传染病患者的社区管理和护理要点。</w:t>
            </w:r>
          </w:p>
        </w:tc>
        <w:tc>
          <w:tcPr>
            <w:tcW w:w="1276" w:type="dxa"/>
            <w:tcBorders>
              <w:top w:val="single" w:color="auto" w:sz="4" w:space="0"/>
              <w:left w:val="nil"/>
              <w:bottom w:val="single" w:color="auto" w:sz="4" w:space="0"/>
              <w:right w:val="single" w:color="auto" w:sz="4" w:space="0"/>
            </w:tcBorders>
            <w:vAlign w:val="center"/>
          </w:tcPr>
          <w:p>
            <w:pPr>
              <w:pStyle w:val="34"/>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4"/>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1</w:t>
            </w:r>
          </w:p>
        </w:tc>
        <w:tc>
          <w:tcPr>
            <w:tcW w:w="1843" w:type="dxa"/>
            <w:tcBorders>
              <w:top w:val="single" w:color="auto" w:sz="4" w:space="0"/>
              <w:left w:val="nil"/>
              <w:bottom w:val="single" w:color="auto" w:sz="4" w:space="0"/>
              <w:right w:val="single" w:color="auto" w:sz="4" w:space="0"/>
            </w:tcBorders>
            <w:vAlign w:val="center"/>
          </w:tcPr>
          <w:p>
            <w:pPr>
              <w:pStyle w:val="34"/>
              <w:spacing w:line="360" w:lineRule="exact"/>
              <w:ind w:left="64"/>
              <w:jc w:val="center"/>
              <w:rPr>
                <w:rFonts w:ascii="方正仿宋_GBK" w:hAnsi="方正仿宋_GBK" w:eastAsia="方正仿宋_GBK" w:cs="方正仿宋_GBK"/>
                <w:sz w:val="24"/>
                <w:szCs w:val="24"/>
              </w:rPr>
            </w:pPr>
            <w:r>
              <w:rPr>
                <w:rFonts w:hint="eastAsia" w:ascii="方正仿宋_GBK" w:hAnsi="方正仿宋_GBK" w:eastAsia="方正仿宋_GBK" w:cs="方正仿宋_GBK"/>
                <w:spacing w:val="-2"/>
                <w:sz w:val="24"/>
                <w:szCs w:val="24"/>
                <w:lang w:val="en-US" w:bidi="ar-SA"/>
              </w:rPr>
              <w:t>老年护理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掌握老年人健康评估的内容及方法，掌握老年人常见疾病、心理行为问题的健康照护与促进、特殊老年人的健康照护与促进，健康照护风险防范与应对。掌握居家、社区、养老机构老年人的健康照护与促进，掌握老年人解老年人社会参与和健康促进。</w:t>
            </w:r>
          </w:p>
        </w:tc>
        <w:tc>
          <w:tcPr>
            <w:tcW w:w="1276" w:type="dxa"/>
            <w:tcBorders>
              <w:top w:val="single" w:color="auto" w:sz="4" w:space="0"/>
              <w:left w:val="nil"/>
              <w:bottom w:val="single" w:color="auto" w:sz="4" w:space="0"/>
              <w:right w:val="single" w:color="auto" w:sz="4" w:space="0"/>
            </w:tcBorders>
            <w:vAlign w:val="center"/>
          </w:tcPr>
          <w:p>
            <w:pPr>
              <w:pStyle w:val="34"/>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（3）综合实践</w:t>
      </w:r>
    </w:p>
    <w:p>
      <w:pPr>
        <w:spacing w:line="560" w:lineRule="exact"/>
        <w:ind w:firstLine="650" w:firstLineChars="200"/>
        <w:rPr>
          <w:rFonts w:hint="eastAsia" w:ascii="方正仿宋_GBK" w:eastAsia="方正仿宋_GBK"/>
          <w:sz w:val="32"/>
        </w:rPr>
      </w:pPr>
      <w:r>
        <w:rPr>
          <w:rFonts w:hint="eastAsia" w:ascii="方正仿宋_GBK" w:eastAsia="方正仿宋_GBK"/>
          <w:sz w:val="32"/>
        </w:rPr>
        <w:t>综合实训包括“识岗、跟岗、顶岗”三个阶段。依据《护士条例》（2020年国务院令第726号）在满足学生岗位实习8个月（32周）的前提下，安排学生岗位认知和岗位见习。</w:t>
      </w:r>
    </w:p>
    <w:p/>
    <w:p>
      <w:pPr>
        <w:autoSpaceDE w:val="0"/>
        <w:autoSpaceDN w:val="0"/>
        <w:spacing w:line="360" w:lineRule="auto"/>
        <w:ind w:firstLine="479" w:firstLineChars="196"/>
        <w:jc w:val="left"/>
        <w:rPr>
          <w:rFonts w:cs="WVHDDF + FZLTHJW--GB1-0" w:asciiTheme="minorEastAsia" w:hAnsiTheme="minorEastAsia" w:eastAsiaTheme="minorEastAsia"/>
          <w:b/>
          <w:sz w:val="24"/>
          <w:szCs w:val="24"/>
        </w:rPr>
      </w:pPr>
    </w:p>
    <w:tbl>
      <w:tblPr>
        <w:tblStyle w:val="15"/>
        <w:tblW w:w="9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140"/>
        <w:gridCol w:w="1072"/>
        <w:gridCol w:w="5186"/>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序号</w:t>
            </w:r>
          </w:p>
        </w:tc>
        <w:tc>
          <w:tcPr>
            <w:tcW w:w="2212" w:type="dxa"/>
            <w:gridSpan w:val="2"/>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课程名称</w:t>
            </w:r>
          </w:p>
        </w:tc>
        <w:tc>
          <w:tcPr>
            <w:tcW w:w="5186"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教学内容及要求</w:t>
            </w:r>
          </w:p>
        </w:tc>
        <w:tc>
          <w:tcPr>
            <w:tcW w:w="1225"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参考学时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67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1</w:t>
            </w:r>
          </w:p>
        </w:tc>
        <w:tc>
          <w:tcPr>
            <w:tcW w:w="2212" w:type="dxa"/>
            <w:gridSpan w:val="2"/>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岗位认知</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第二学期安排一周到医院熟悉医院环境和工作制度，到老年机构、妇幼机构、社区参观学习，巩固其专业思想，培养职业认同。</w:t>
            </w:r>
          </w:p>
        </w:tc>
        <w:tc>
          <w:tcPr>
            <w:tcW w:w="122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67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2</w:t>
            </w:r>
          </w:p>
        </w:tc>
        <w:tc>
          <w:tcPr>
            <w:tcW w:w="2212" w:type="dxa"/>
            <w:gridSpan w:val="2"/>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岗位见习</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第二学期安排一周到医院岗位见习，了解内科护士、外科护士、妇产科护士、儿科护士、急诊科护士、社区护士、老年照护等工作任务和工作要求，进一步深入熟悉基础护理的各项操作技术要点和流程。</w:t>
            </w:r>
          </w:p>
        </w:tc>
        <w:tc>
          <w:tcPr>
            <w:tcW w:w="122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3</w:t>
            </w:r>
          </w:p>
        </w:tc>
        <w:tc>
          <w:tcPr>
            <w:tcW w:w="1140" w:type="dxa"/>
            <w:vMerge w:val="restart"/>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顶岗实习</w:t>
            </w:r>
          </w:p>
          <w:p>
            <w:pPr>
              <w:spacing w:line="360" w:lineRule="exact"/>
              <w:rPr>
                <w:rFonts w:ascii="方正仿宋_GBK" w:hAnsi="仿宋" w:eastAsia="方正仿宋_GBK"/>
                <w:sz w:val="24"/>
                <w:szCs w:val="24"/>
              </w:rPr>
            </w:pPr>
            <w:r>
              <w:rPr>
                <w:rFonts w:hint="eastAsia" w:ascii="方正仿宋_GBK" w:hAnsi="仿宋" w:eastAsia="方正仿宋_GBK"/>
                <w:sz w:val="24"/>
                <w:szCs w:val="24"/>
              </w:rPr>
              <w:t>（32周）</w:t>
            </w: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内科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（8周）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熟悉内科及传染科的各项基础护理操作及专科护理操作，能熟练进行各项护理操作</w:t>
            </w:r>
          </w:p>
        </w:tc>
        <w:tc>
          <w:tcPr>
            <w:tcW w:w="1225" w:type="dxa"/>
            <w:vMerge w:val="restart"/>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960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外科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（8周）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掌握手术（含手术室）前后病人的护理、基础护理操作 和外科常见的专科护理操作，熟悉外科常见病的护理及突发危、重症 的抢救配合。</w:t>
            </w:r>
            <w:r>
              <w:rPr>
                <w:rFonts w:ascii="方正仿宋_GBK" w:hAnsi="仿宋" w:eastAsia="方正仿宋_GBK"/>
                <w:sz w:val="24"/>
                <w:szCs w:val="24"/>
              </w:rPr>
              <w:t xml:space="preserve"> </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妇产科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掌握基础护理操作和妇产科常见的专科 护理操作，熟悉妇产科常见病及其护理，了解妇产科护理新进展和新技术的应用。</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儿科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掌握基础护理操作和儿科常见的专科护理操作，熟悉儿科常见病及其护理，了解儿科护理新进展和新技术的应用。</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hint="eastAsia" w:ascii="方正仿宋_GBK" w:hAnsi="仿宋" w:eastAsia="方正仿宋_GBK"/>
                <w:sz w:val="24"/>
                <w:szCs w:val="24"/>
              </w:rPr>
            </w:pPr>
            <w:r>
              <w:rPr>
                <w:rFonts w:hint="eastAsia" w:ascii="方正仿宋_GBK" w:hAnsi="仿宋" w:eastAsia="方正仿宋_GBK"/>
                <w:sz w:val="24"/>
                <w:szCs w:val="24"/>
              </w:rPr>
              <w:t>手术室（2周）</w:t>
            </w:r>
          </w:p>
        </w:tc>
        <w:tc>
          <w:tcPr>
            <w:tcW w:w="5186" w:type="dxa"/>
            <w:vAlign w:val="center"/>
          </w:tcPr>
          <w:p>
            <w:pPr>
              <w:spacing w:line="360" w:lineRule="exact"/>
              <w:rPr>
                <w:rFonts w:hint="eastAsia" w:ascii="方正仿宋_GBK" w:hAnsi="仿宋" w:eastAsia="方正仿宋_GBK"/>
                <w:sz w:val="24"/>
                <w:szCs w:val="24"/>
              </w:rPr>
            </w:pPr>
            <w:r>
              <w:rPr>
                <w:rFonts w:hint="eastAsia" w:ascii="方正仿宋_GBK" w:hAnsi="仿宋" w:eastAsia="方正仿宋_GBK"/>
                <w:sz w:val="24"/>
                <w:szCs w:val="24"/>
              </w:rPr>
              <w:t xml:space="preserve">熟悉手术室环境和手术室工作特点，掌握手术室无菌技术操作，熟悉常用手术器械，了解手术护士工作特点和工作内容。 </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急诊室</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掌握急救科常用的急救护理措施、心肺复苏技术和急救工作流程，熟悉护士与医生配合的工作流程。</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color w:val="FF0000"/>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定向实习：包括社区护理方向、老年护理方向（2周）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到相应方向的对应科室定向实习，社区卫生服务中心、老年护理病房、老年照护机构等，熟悉相应护理操作及技能。</w:t>
            </w:r>
          </w:p>
        </w:tc>
        <w:tc>
          <w:tcPr>
            <w:tcW w:w="1225" w:type="dxa"/>
            <w:vMerge w:val="continue"/>
            <w:vAlign w:val="center"/>
          </w:tcPr>
          <w:p>
            <w:pPr>
              <w:spacing w:line="360" w:lineRule="exact"/>
              <w:rPr>
                <w:rFonts w:ascii="方正仿宋_GBK" w:hAnsi="仿宋" w:eastAsia="方正仿宋_GBK"/>
                <w:color w:val="FF0000"/>
                <w:sz w:val="24"/>
                <w:szCs w:val="24"/>
              </w:rPr>
            </w:pPr>
          </w:p>
        </w:tc>
      </w:tr>
    </w:tbl>
    <w:p>
      <w:pPr>
        <w:autoSpaceDE w:val="0"/>
        <w:autoSpaceDN w:val="0"/>
        <w:spacing w:line="360" w:lineRule="auto"/>
        <w:ind w:firstLine="479" w:firstLineChars="196"/>
        <w:jc w:val="left"/>
        <w:rPr>
          <w:rFonts w:hint="eastAsia" w:cs="WVHDDF + FZLTHJW--GB1-0" w:asciiTheme="minorEastAsia" w:hAnsiTheme="minorEastAsia" w:eastAsiaTheme="minorEastAsia"/>
          <w:b/>
          <w:sz w:val="24"/>
          <w:szCs w:val="24"/>
        </w:rPr>
      </w:pP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（4）专业选修课</w:t>
      </w:r>
    </w:p>
    <w:p>
      <w:pPr>
        <w:spacing w:line="560" w:lineRule="exact"/>
        <w:ind w:firstLine="650" w:firstLineChars="200"/>
        <w:rPr>
          <w:rFonts w:ascii="方正仿宋_GBK" w:eastAsia="方正仿宋_GBK"/>
          <w:sz w:val="32"/>
          <w:szCs w:val="32"/>
        </w:rPr>
      </w:pPr>
      <w:r>
        <w:rPr>
          <w:rFonts w:hint="eastAsia" w:ascii="方正仿宋_GBK" w:hAnsi="仿宋" w:eastAsia="方正仿宋_GBK" w:cs="方正仿宋_GBK"/>
          <w:bCs/>
          <w:sz w:val="32"/>
          <w:szCs w:val="32"/>
        </w:rPr>
        <w:t>依据学生专业能力发展和职业岗位需求，</w:t>
      </w:r>
      <w:r>
        <w:rPr>
          <w:rFonts w:hint="eastAsia" w:ascii="方正仿宋_GBK" w:eastAsia="方正仿宋_GBK"/>
          <w:sz w:val="32"/>
          <w:szCs w:val="32"/>
        </w:rPr>
        <w:t>对接国家职业教育 1+X 职业技能等级证书考证要求以及</w:t>
      </w:r>
      <w:r>
        <w:rPr>
          <w:rFonts w:hint="eastAsia" w:ascii="方正仿宋_GBK" w:hAnsi="仿宋" w:eastAsia="方正仿宋_GBK" w:cs="方正仿宋_GBK"/>
          <w:bCs/>
          <w:sz w:val="32"/>
          <w:szCs w:val="32"/>
        </w:rPr>
        <w:t>高职分类考试要求</w:t>
      </w:r>
      <w:r>
        <w:rPr>
          <w:rFonts w:hint="eastAsia" w:ascii="方正仿宋_GBK" w:eastAsia="方正仿宋_GBK"/>
          <w:sz w:val="32"/>
          <w:szCs w:val="32"/>
        </w:rPr>
        <w:t>，设置了</w:t>
      </w:r>
      <w:r>
        <w:rPr>
          <w:rFonts w:hint="eastAsia" w:ascii="方正仿宋_GBK" w:hAnsi="方正仿宋_GBK" w:eastAsia="方正仿宋_GBK" w:cs="方正仿宋_GBK"/>
          <w:sz w:val="32"/>
          <w:szCs w:val="32"/>
        </w:rPr>
        <w:t>病理学基础、</w:t>
      </w:r>
      <w:r>
        <w:rPr>
          <w:rFonts w:hint="eastAsia" w:ascii="方正仿宋_GBK" w:eastAsia="方正仿宋_GBK"/>
          <w:sz w:val="32"/>
          <w:szCs w:val="32"/>
        </w:rPr>
        <w:t>病原生物与免疫学基础等8门课程，学生需完成6门课程的选修。</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lang w:eastAsia="en-US"/>
              </w:rPr>
              <w:t>病理学基础</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jc w:val="both"/>
              <w:rPr>
                <w:rFonts w:ascii="方正仿宋_GBK" w:hAnsi="方正仿宋_GBK" w:eastAsia="方正仿宋_GBK" w:cs="方正仿宋_GBK"/>
              </w:rPr>
            </w:pPr>
            <w:r>
              <w:rPr>
                <w:rFonts w:hint="eastAsia" w:ascii="方正仿宋_GBK" w:eastAsia="方正仿宋_GBK"/>
              </w:rPr>
              <w:t>掌握病理学的基本知识、基本理论，并能运用本课程的理论知识理解和掌握后续课程内容，处理护理实践中所遇到的实际问题。</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2</w:t>
            </w:r>
          </w:p>
        </w:tc>
        <w:tc>
          <w:tcPr>
            <w:tcW w:w="1843" w:type="dxa"/>
            <w:tcBorders>
              <w:top w:val="single" w:color="auto" w:sz="4" w:space="0"/>
              <w:left w:val="nil"/>
              <w:bottom w:val="single" w:color="auto" w:sz="4" w:space="0"/>
              <w:right w:val="single" w:color="auto" w:sz="4" w:space="0"/>
            </w:tcBorders>
            <w:vAlign w:val="center"/>
          </w:tcPr>
          <w:p>
            <w:pPr>
              <w:pStyle w:val="43"/>
              <w:spacing w:line="340" w:lineRule="exact"/>
              <w:jc w:val="center"/>
              <w:rPr>
                <w:rFonts w:ascii="方正仿宋_GBK" w:hAnsi="方正仿宋_GBK" w:eastAsia="方正仿宋_GBK" w:cs="方正仿宋_GBK"/>
              </w:rPr>
            </w:pPr>
            <w:r>
              <w:rPr>
                <w:rFonts w:hint="eastAsia" w:ascii="方正仿宋_GBK" w:eastAsia="方正仿宋_GBK"/>
              </w:rPr>
              <w:t>病原生物与免疫学基础</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rPr>
                <w:rFonts w:ascii="方正仿宋_GBK" w:hAnsi="方正仿宋_GBK" w:eastAsia="方正仿宋_GBK" w:cs="方正仿宋_GBK"/>
              </w:rPr>
            </w:pPr>
            <w:r>
              <w:rPr>
                <w:rFonts w:hint="eastAsia" w:ascii="方正仿宋_GBK" w:eastAsia="方正仿宋_GBK"/>
              </w:rPr>
              <w:t>了解医学微生物、免疫学基础和人体寄生虫的基本理论和基本技能，为临床课程的学习奠定基础。</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4"/>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w:t>
            </w:r>
          </w:p>
        </w:tc>
        <w:tc>
          <w:tcPr>
            <w:tcW w:w="1843" w:type="dxa"/>
            <w:tcBorders>
              <w:top w:val="single" w:color="auto" w:sz="4" w:space="0"/>
              <w:left w:val="nil"/>
              <w:bottom w:val="single" w:color="auto" w:sz="4" w:space="0"/>
              <w:right w:val="single" w:color="auto" w:sz="4" w:space="0"/>
            </w:tcBorders>
            <w:vAlign w:val="center"/>
          </w:tcPr>
          <w:p>
            <w:pPr>
              <w:pStyle w:val="34"/>
              <w:spacing w:before="55" w:line="340" w:lineRule="exact"/>
              <w:ind w:left="65" w:right="42"/>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传染</w:t>
            </w:r>
            <w:r>
              <w:rPr>
                <w:rFonts w:hint="eastAsia" w:ascii="方正仿宋_GBK" w:hAnsi="方正仿宋_GBK" w:eastAsia="方正仿宋_GBK" w:cs="方正仿宋_GBK"/>
                <w:sz w:val="24"/>
                <w:szCs w:val="24"/>
                <w:lang w:val="en-US"/>
              </w:rPr>
              <w:t>病</w:t>
            </w:r>
            <w:r>
              <w:rPr>
                <w:rFonts w:hint="eastAsia" w:ascii="方正仿宋_GBK" w:hAnsi="方正仿宋_GBK" w:eastAsia="方正仿宋_GBK" w:cs="方正仿宋_GBK"/>
                <w:sz w:val="24"/>
                <w:szCs w:val="24"/>
              </w:rPr>
              <w:t>护理</w:t>
            </w:r>
          </w:p>
        </w:tc>
        <w:tc>
          <w:tcPr>
            <w:tcW w:w="5244" w:type="dxa"/>
            <w:tcBorders>
              <w:top w:val="single" w:color="auto" w:sz="4" w:space="0"/>
              <w:left w:val="nil"/>
              <w:bottom w:val="single" w:color="auto" w:sz="4" w:space="0"/>
              <w:right w:val="single" w:color="auto" w:sz="4" w:space="0"/>
            </w:tcBorders>
          </w:tcPr>
          <w:p>
            <w:pPr>
              <w:adjustRightInd w:val="0"/>
              <w:snapToGrid w:val="0"/>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常见传染病的流行特征、临床表现、发病机制、实验室检查、诊断和治疗要点。掌握传染病的评估要点、护理诊断、护理措施、健康教育及传染病护理的基本技能。培养高度责任心和同情心，关爱患者，积极配合传染病的防治工作。</w:t>
            </w:r>
          </w:p>
        </w:tc>
        <w:tc>
          <w:tcPr>
            <w:tcW w:w="1276" w:type="dxa"/>
            <w:tcBorders>
              <w:top w:val="single" w:color="auto" w:sz="4" w:space="0"/>
              <w:left w:val="nil"/>
              <w:bottom w:val="single" w:color="auto" w:sz="4" w:space="0"/>
              <w:right w:val="single" w:color="auto" w:sz="4" w:space="0"/>
            </w:tcBorders>
            <w:vAlign w:val="center"/>
          </w:tcPr>
          <w:p>
            <w:pPr>
              <w:pStyle w:val="34"/>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4</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护理心理</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掌握心理护理必须的基本知识和基本技能，培养学生从心理学和生物学两个角度认识健康和疾病，自觉遵循心理行为科学规律，关爱生命、关注健康</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5</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中医护理</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rPr>
                <w:rFonts w:ascii="方正仿宋_GBK" w:hAnsi="方正仿宋_GBK" w:eastAsia="方正仿宋_GBK" w:cs="方正仿宋_GBK"/>
              </w:rPr>
            </w:pPr>
            <w:r>
              <w:rPr>
                <w:rFonts w:hint="eastAsia" w:ascii="方正仿宋_GBK" w:eastAsia="方正仿宋_GBK"/>
              </w:rPr>
              <w:t xml:space="preserve">了解中医学理论体系的形成和发展，掌握中医护理整体观念和辨证施护，能将中医的精华内容应用于临床护理，为护理工作拓宽思路。 </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6</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对口升学护考培训课程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仿宋" w:eastAsia="方正仿宋_GBK" w:cs="方正仿宋_GBK"/>
                <w:bCs/>
                <w:sz w:val="24"/>
                <w:szCs w:val="24"/>
              </w:rPr>
              <w:t>依据重庆市教育考试院《中职毕业生参加高职分类考试招生专业综合理论测试护理护理类考试说明》、《高职分类考试对口高职技能考试护理类考试说明》开设。</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7</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1+X老年照护技能等级证书考证课程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pacing w:val="-2"/>
                <w:kern w:val="0"/>
                <w:sz w:val="24"/>
                <w:szCs w:val="24"/>
              </w:rPr>
              <w:t>依据（初级）老年照护技能等级证书考证要求开设，掌握老年人安全防护、饮食照料、排泄护理、睡眠照料、清洁照料、转运照护、常见救护等基本知识和基本技能。</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8</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1+X母婴护理技能等级证书考证课程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pacing w:val="-2"/>
                <w:kern w:val="0"/>
                <w:sz w:val="24"/>
                <w:szCs w:val="24"/>
              </w:rPr>
              <w:t>依据（初级）母婴护理技能等级证书考证要求开设，掌握孕期、分娩期、产褥期的孕产妇护理及婴儿护理基本知识和基本技能等。</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pStyle w:val="2"/>
        <w:spacing w:before="0" w:after="0" w:line="540" w:lineRule="exact"/>
        <w:ind w:firstLine="650" w:firstLineChars="200"/>
        <w:rPr>
          <w:rFonts w:ascii="方正黑体_GBK" w:hAnsi="方正黑体_GBK" w:eastAsia="方正黑体_GBK" w:cs="方正黑体_GBK"/>
          <w:b w:val="0"/>
          <w:bCs w:val="0"/>
          <w:sz w:val="32"/>
          <w:szCs w:val="32"/>
        </w:rPr>
      </w:pPr>
      <w:bookmarkStart w:id="14" w:name="_Toc108031854"/>
      <w:r>
        <w:rPr>
          <w:rFonts w:hint="eastAsia" w:ascii="方正黑体_GBK" w:hAnsi="方正黑体_GBK" w:eastAsia="方正黑体_GBK" w:cs="方正黑体_GBK"/>
          <w:b w:val="0"/>
          <w:bCs w:val="0"/>
          <w:sz w:val="32"/>
          <w:szCs w:val="32"/>
        </w:rPr>
        <w:t>七、教学进程总体安排</w:t>
      </w:r>
      <w:bookmarkEnd w:id="14"/>
    </w:p>
    <w:p>
      <w:pPr>
        <w:spacing w:line="560" w:lineRule="exact"/>
        <w:ind w:firstLine="650" w:firstLineChars="200"/>
        <w:rPr>
          <w:rFonts w:ascii="方正楷体_GBK" w:hAnsi="方正楷体_GBK" w:eastAsia="方正楷体_GBK" w:cs="方正楷体_GBK"/>
          <w:sz w:val="28"/>
          <w:szCs w:val="28"/>
        </w:rPr>
      </w:pPr>
      <w:r>
        <w:rPr>
          <w:rFonts w:hint="eastAsia" w:ascii="方正仿宋_GBK" w:hAnsi="方正仿宋_GBK" w:eastAsia="方正仿宋_GBK" w:cs="方正仿宋_GBK"/>
          <w:bCs/>
          <w:sz w:val="32"/>
          <w:szCs w:val="32"/>
        </w:rPr>
        <w:t>每学年 52 周，其中教学42 周（含复习考试），累计假期 10 周，周学时 30学时。岗位实习 32 周，计960学时。3 年总学时</w:t>
      </w:r>
      <w:r>
        <w:rPr>
          <w:rFonts w:ascii="方正仿宋_GBK" w:eastAsia="方正仿宋_GBK"/>
          <w:sz w:val="32"/>
          <w:szCs w:val="32"/>
        </w:rPr>
        <w:t>3</w:t>
      </w:r>
      <w:r>
        <w:rPr>
          <w:rFonts w:hint="eastAsia" w:ascii="方正仿宋_GBK" w:eastAsia="方正仿宋_GBK"/>
          <w:sz w:val="32"/>
          <w:szCs w:val="32"/>
        </w:rPr>
        <w:t>252</w:t>
      </w:r>
      <w:r>
        <w:rPr>
          <w:rFonts w:hint="eastAsia" w:ascii="方正仿宋_GBK" w:hAnsi="方正仿宋_GBK" w:eastAsia="方正仿宋_GBK" w:cs="方正仿宋_GBK"/>
          <w:bCs/>
          <w:sz w:val="32"/>
          <w:szCs w:val="32"/>
        </w:rPr>
        <w:t>学时，其中理论</w:t>
      </w:r>
      <w:r>
        <w:rPr>
          <w:rFonts w:ascii="方正仿宋_GBK" w:eastAsia="方正仿宋_GBK"/>
          <w:sz w:val="32"/>
          <w:szCs w:val="32"/>
        </w:rPr>
        <w:t>15</w:t>
      </w:r>
      <w:r>
        <w:rPr>
          <w:rFonts w:hint="eastAsia" w:ascii="方正仿宋_GBK" w:eastAsia="方正仿宋_GBK"/>
          <w:sz w:val="32"/>
          <w:szCs w:val="32"/>
        </w:rPr>
        <w:t>96</w:t>
      </w:r>
      <w:r>
        <w:rPr>
          <w:rFonts w:hint="eastAsia" w:ascii="方正仿宋_GBK" w:hAnsi="方正仿宋_GBK" w:eastAsia="方正仿宋_GBK" w:cs="方正仿宋_GBK"/>
          <w:bCs/>
          <w:sz w:val="32"/>
          <w:szCs w:val="32"/>
        </w:rPr>
        <w:t>学时，实践</w:t>
      </w:r>
      <w:r>
        <w:rPr>
          <w:rFonts w:ascii="方正仿宋_GBK" w:eastAsia="方正仿宋_GBK"/>
          <w:sz w:val="32"/>
          <w:szCs w:val="32"/>
        </w:rPr>
        <w:t>16</w:t>
      </w:r>
      <w:r>
        <w:rPr>
          <w:rFonts w:hint="eastAsia" w:ascii="方正仿宋_GBK" w:eastAsia="方正仿宋_GBK"/>
          <w:sz w:val="32"/>
          <w:szCs w:val="32"/>
        </w:rPr>
        <w:t>56</w:t>
      </w:r>
      <w:r>
        <w:rPr>
          <w:rFonts w:hint="eastAsia" w:ascii="方正仿宋_GBK" w:hAnsi="方正仿宋_GBK" w:eastAsia="方正仿宋_GBK" w:cs="方正仿宋_GBK"/>
          <w:bCs/>
          <w:sz w:val="32"/>
          <w:szCs w:val="32"/>
        </w:rPr>
        <w:t>学时，实践课超过总学时一半。公共基础课1080学时（含必修课和限定选修课），约占总学时的</w:t>
      </w:r>
      <w:r>
        <w:rPr>
          <w:rFonts w:hint="eastAsia" w:ascii="方正仿宋_GBK" w:eastAsia="方正仿宋_GBK"/>
          <w:sz w:val="32"/>
          <w:szCs w:val="32"/>
        </w:rPr>
        <w:t>1/3</w:t>
      </w:r>
      <w:r>
        <w:rPr>
          <w:rFonts w:hint="eastAsia" w:ascii="方正仿宋_GBK" w:hAnsi="方正仿宋_GBK" w:eastAsia="方正仿宋_GBK" w:cs="方正仿宋_GBK"/>
          <w:bCs/>
          <w:sz w:val="32"/>
          <w:szCs w:val="32"/>
        </w:rPr>
        <w:t>；</w:t>
      </w:r>
      <w:r>
        <w:rPr>
          <w:rFonts w:hint="eastAsia" w:ascii="方正仿宋_GBK" w:eastAsia="方正仿宋_GBK"/>
          <w:sz w:val="32"/>
          <w:szCs w:val="32"/>
        </w:rPr>
        <w:t>专业技能课学时2172，约为总学时的 2/3。</w:t>
      </w:r>
      <w:r>
        <w:rPr>
          <w:rFonts w:ascii="方正仿宋_GBK" w:eastAsia="方正仿宋_GBK"/>
          <w:sz w:val="32"/>
          <w:szCs w:val="32"/>
        </w:rPr>
        <w:tab/>
      </w:r>
      <w:bookmarkStart w:id="15" w:name="_Toc108031855"/>
      <w:r>
        <w:rPr>
          <w:rFonts w:hint="eastAsia" w:ascii="方正楷体_GBK" w:hAnsi="方正楷体_GBK" w:eastAsia="方正楷体_GBK" w:cs="方正楷体_GBK"/>
          <w:sz w:val="32"/>
          <w:szCs w:val="32"/>
        </w:rPr>
        <w:t>（一）时间（周）分配表</w:t>
      </w:r>
      <w:bookmarkEnd w:id="15"/>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5"/>
        <w:gridCol w:w="690"/>
        <w:gridCol w:w="688"/>
        <w:gridCol w:w="688"/>
        <w:gridCol w:w="1216"/>
        <w:gridCol w:w="688"/>
        <w:gridCol w:w="616"/>
        <w:gridCol w:w="688"/>
        <w:gridCol w:w="820"/>
        <w:gridCol w:w="676"/>
        <w:gridCol w:w="688"/>
        <w:gridCol w:w="1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学期</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教学</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周数</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实习</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考试</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周</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爱国主义入学教育军训</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认知</w:t>
            </w: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岗位见习</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劳动</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教育</w:t>
            </w: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升学护考培训</w:t>
            </w: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培训</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职业</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教育</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4</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5-6</w:t>
            </w:r>
          </w:p>
        </w:tc>
        <w:tc>
          <w:tcPr>
            <w:tcW w:w="690"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7</w:t>
            </w: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合计</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72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6</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6</w:t>
            </w: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124</w:t>
            </w:r>
          </w:p>
        </w:tc>
      </w:tr>
    </w:tbl>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sectPr>
          <w:footerReference r:id="rId5" w:type="default"/>
          <w:pgSz w:w="11906" w:h="16838"/>
          <w:pgMar w:top="1417" w:right="1417" w:bottom="1417" w:left="1417" w:header="851" w:footer="992" w:gutter="0"/>
          <w:cols w:space="0" w:num="1"/>
          <w:docGrid w:type="linesAndChars" w:linePitch="312" w:charSpace="1228"/>
        </w:sectPr>
      </w:pPr>
    </w:p>
    <w:p>
      <w:pPr>
        <w:pStyle w:val="3"/>
        <w:rPr>
          <w:rFonts w:hint="eastAsia" w:ascii="方正楷体_GBK" w:hAnsi="方正楷体_GBK" w:eastAsia="方正楷体_GBK" w:cs="方正楷体_GBK"/>
          <w:spacing w:val="-2"/>
          <w:kern w:val="0"/>
        </w:rPr>
      </w:pPr>
      <w:bookmarkStart w:id="16" w:name="_Toc108031856"/>
      <w:r>
        <w:rPr>
          <w:rFonts w:hint="eastAsia" w:ascii="方正楷体_GBK" w:hAnsi="方正楷体_GBK" w:eastAsia="方正楷体_GBK" w:cs="方正楷体_GBK"/>
          <w:spacing w:val="-2"/>
          <w:kern w:val="0"/>
        </w:rPr>
        <w:t>（二）护理专业教学进程表</w:t>
      </w:r>
      <w:bookmarkEnd w:id="16"/>
    </w:p>
    <w:tbl>
      <w:tblPr>
        <w:tblStyle w:val="15"/>
        <w:tblW w:w="12795" w:type="dxa"/>
        <w:tblInd w:w="93" w:type="dxa"/>
        <w:tblLayout w:type="autofit"/>
        <w:tblCellMar>
          <w:top w:w="0" w:type="dxa"/>
          <w:left w:w="108" w:type="dxa"/>
          <w:bottom w:w="0" w:type="dxa"/>
          <w:right w:w="108" w:type="dxa"/>
        </w:tblCellMar>
      </w:tblPr>
      <w:tblGrid>
        <w:gridCol w:w="663"/>
        <w:gridCol w:w="1257"/>
        <w:gridCol w:w="1097"/>
        <w:gridCol w:w="2886"/>
        <w:gridCol w:w="609"/>
        <w:gridCol w:w="600"/>
        <w:gridCol w:w="709"/>
        <w:gridCol w:w="713"/>
        <w:gridCol w:w="674"/>
        <w:gridCol w:w="619"/>
        <w:gridCol w:w="619"/>
        <w:gridCol w:w="619"/>
        <w:gridCol w:w="619"/>
        <w:gridCol w:w="459"/>
        <w:gridCol w:w="652"/>
      </w:tblGrid>
      <w:tr>
        <w:tblPrEx>
          <w:tblCellMar>
            <w:top w:w="0" w:type="dxa"/>
            <w:left w:w="108" w:type="dxa"/>
            <w:bottom w:w="0" w:type="dxa"/>
            <w:right w:w="108" w:type="dxa"/>
          </w:tblCellMar>
        </w:tblPrEx>
        <w:trPr>
          <w:trHeight w:val="348" w:hRule="atLeast"/>
        </w:trPr>
        <w:tc>
          <w:tcPr>
            <w:tcW w:w="3017" w:type="dxa"/>
            <w:gridSpan w:val="3"/>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序号</w:t>
            </w:r>
          </w:p>
        </w:tc>
        <w:tc>
          <w:tcPr>
            <w:tcW w:w="288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课     程</w:t>
            </w:r>
          </w:p>
        </w:tc>
        <w:tc>
          <w:tcPr>
            <w:tcW w:w="120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学期分配</w:t>
            </w:r>
          </w:p>
        </w:tc>
        <w:tc>
          <w:tcPr>
            <w:tcW w:w="2096"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学时数</w:t>
            </w:r>
          </w:p>
        </w:tc>
        <w:tc>
          <w:tcPr>
            <w:tcW w:w="3587" w:type="dxa"/>
            <w:gridSpan w:val="6"/>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按学年及学期分配</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考试</w:t>
            </w:r>
          </w:p>
        </w:tc>
        <w:tc>
          <w:tcPr>
            <w:tcW w:w="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考查</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总计</w:t>
            </w:r>
          </w:p>
        </w:tc>
        <w:tc>
          <w:tcPr>
            <w:tcW w:w="71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理论</w:t>
            </w:r>
          </w:p>
        </w:tc>
        <w:tc>
          <w:tcPr>
            <w:tcW w:w="67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实践</w:t>
            </w:r>
          </w:p>
        </w:tc>
        <w:tc>
          <w:tcPr>
            <w:tcW w:w="12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第一学年</w:t>
            </w:r>
          </w:p>
        </w:tc>
        <w:tc>
          <w:tcPr>
            <w:tcW w:w="12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第二学年</w:t>
            </w:r>
          </w:p>
        </w:tc>
        <w:tc>
          <w:tcPr>
            <w:tcW w:w="111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第三学年</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00"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4学期</w:t>
            </w:r>
          </w:p>
        </w:tc>
        <w:tc>
          <w:tcPr>
            <w:tcW w:w="45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5学期</w:t>
            </w:r>
          </w:p>
        </w:tc>
        <w:tc>
          <w:tcPr>
            <w:tcW w:w="652"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6学期</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00"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45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c>
          <w:tcPr>
            <w:tcW w:w="652"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r>
      <w:tr>
        <w:tblPrEx>
          <w:tblCellMar>
            <w:top w:w="0" w:type="dxa"/>
            <w:left w:w="108" w:type="dxa"/>
            <w:bottom w:w="0" w:type="dxa"/>
            <w:right w:w="108" w:type="dxa"/>
          </w:tblCellMar>
        </w:tblPrEx>
        <w:trPr>
          <w:trHeight w:val="313" w:hRule="atLeast"/>
        </w:trPr>
        <w:tc>
          <w:tcPr>
            <w:tcW w:w="66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公共基础课程</w:t>
            </w: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公共基础必修课程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中国特色社会主义</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restart"/>
            <w:tcBorders>
              <w:top w:val="single" w:color="auto" w:sz="4" w:space="0"/>
              <w:left w:val="single" w:color="auto" w:sz="4" w:space="0"/>
              <w:bottom w:val="single" w:color="000000" w:sz="4" w:space="0"/>
              <w:right w:val="single" w:color="000000" w:sz="4" w:space="0"/>
            </w:tcBorders>
            <w:shd w:val="clear" w:color="auto" w:fill="auto"/>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 xml:space="preserve">岗位实习：                  1.医院实习30周（内科8周，外科8周,妇产科4周,儿科4周,手术室2周,急诊室4周）                               2.定向实习2周。             </w:t>
            </w: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职业道德与法治</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哲学与人生</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心理健康与职业生涯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28</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劳动教育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语文</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216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204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数学</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英语</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历史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00" w:type="dxa"/>
            <w:tcBorders>
              <w:top w:val="nil"/>
              <w:left w:val="nil"/>
              <w:bottom w:val="nil"/>
              <w:right w:val="nil"/>
            </w:tcBorders>
            <w:shd w:val="clear" w:color="auto" w:fill="auto"/>
            <w:noWrap/>
            <w:vAlign w:val="bottom"/>
          </w:tcPr>
          <w:p>
            <w:pPr>
              <w:widowControl/>
              <w:jc w:val="left"/>
              <w:rPr>
                <w:rFonts w:ascii="宋体" w:hAnsi="宋体" w:cs="宋体"/>
                <w:color w:val="auto"/>
                <w:kern w:val="0"/>
                <w:sz w:val="22"/>
              </w:rPr>
            </w:pPr>
          </w:p>
        </w:tc>
        <w:tc>
          <w:tcPr>
            <w:tcW w:w="7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信息技术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00" w:type="dxa"/>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52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体育与健康</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艺术（音乐美术）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972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714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258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公共基础限定选修</w:t>
            </w:r>
            <w:r>
              <w:rPr>
                <w:rFonts w:hint="eastAsia" w:ascii="方正仿宋_GBK" w:hAnsi="宋体" w:eastAsia="方正仿宋_GBK" w:cs="宋体"/>
                <w:b/>
                <w:color w:val="auto"/>
                <w:kern w:val="0"/>
                <w:szCs w:val="21"/>
                <w:vertAlign w:val="superscript"/>
              </w:rPr>
              <w:t>1</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13</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医学人文素养</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医用化学</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人际沟通</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16</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护理礼仪</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90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公共基础任意选修</w:t>
            </w:r>
            <w:r>
              <w:rPr>
                <w:rFonts w:hint="eastAsia" w:ascii="方正仿宋_GBK" w:hAnsi="宋体" w:eastAsia="方正仿宋_GBK" w:cs="宋体"/>
                <w:b/>
                <w:color w:val="FF0000"/>
                <w:kern w:val="0"/>
                <w:szCs w:val="21"/>
                <w:vertAlign w:val="superscript"/>
              </w:rPr>
              <w:t>2</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中华优秀传统文化</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2886"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仁道文化</w:t>
            </w:r>
          </w:p>
        </w:tc>
        <w:tc>
          <w:tcPr>
            <w:tcW w:w="60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安全教育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09" w:type="dxa"/>
            <w:tcBorders>
              <w:top w:val="nil"/>
              <w:left w:val="nil"/>
              <w:bottom w:val="single" w:color="auto" w:sz="4" w:space="0"/>
              <w:right w:val="single" w:color="auto" w:sz="4" w:space="0"/>
            </w:tcBorders>
            <w:shd w:val="clear" w:color="auto" w:fill="auto"/>
            <w:vAlign w:val="center"/>
          </w:tcPr>
          <w:p>
            <w:pPr>
              <w:widowControl/>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shd w:val="clear" w:color="auto" w:fill="auto"/>
            <w:noWrap/>
            <w:vAlign w:val="center"/>
          </w:tcPr>
          <w:p>
            <w:pPr>
              <w:widowControl/>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专业技能课程</w:t>
            </w:r>
          </w:p>
        </w:tc>
        <w:tc>
          <w:tcPr>
            <w:tcW w:w="1257"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专业核心课程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解剖学基础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生理学基础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药物应用护理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23</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护理学基础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健康评估</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护理技能综合实训</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内科护理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外科护理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妇产科护理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儿科护理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48</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828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564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264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专业技能（方向）课程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急救护理技术</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社区护理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老年护理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nil"/>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专业选修课程</w:t>
            </w:r>
            <w:r>
              <w:rPr>
                <w:rFonts w:hint="eastAsia" w:ascii="方正仿宋_GBK" w:hAnsi="宋体" w:eastAsia="方正仿宋_GBK" w:cs="宋体"/>
                <w:b/>
                <w:color w:val="FF0000"/>
                <w:kern w:val="0"/>
                <w:szCs w:val="21"/>
                <w:vertAlign w:val="superscript"/>
              </w:rPr>
              <w:t>3</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33</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病原微生物与免疫学基础</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病理学基础</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35</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传染病护理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护理心理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37</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中医护理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38</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对口升学、护考培训课程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588"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39</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1+X老年照护技能等级证书培训课程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588"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40</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1+X母婴护理技能等级证书培训课程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nil"/>
            </w:tcBorders>
            <w:shd w:val="clear" w:color="auto" w:fill="auto"/>
            <w:noWrap/>
            <w:vAlign w:val="bottom"/>
          </w:tcPr>
          <w:p>
            <w:pPr>
              <w:widowControl/>
              <w:jc w:val="center"/>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小计</w:t>
            </w:r>
          </w:p>
        </w:tc>
        <w:tc>
          <w:tcPr>
            <w:tcW w:w="609"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216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tcBorders>
              <w:top w:val="single" w:color="auto" w:sz="4" w:space="0"/>
              <w:left w:val="single" w:color="auto" w:sz="4" w:space="0"/>
              <w:bottom w:val="single" w:color="auto" w:sz="4" w:space="0"/>
              <w:right w:val="single" w:color="auto" w:sz="4" w:space="0"/>
            </w:tcBorders>
            <w:shd w:val="clear" w:color="000000" w:fill="auto"/>
            <w:vAlign w:val="center"/>
          </w:tcPr>
          <w:p>
            <w:pPr>
              <w:widowControl/>
              <w:jc w:val="center"/>
              <w:rPr>
                <w:rFonts w:ascii="仿宋" w:hAnsi="仿宋" w:eastAsia="仿宋" w:cs="宋体"/>
                <w:b/>
                <w:bCs/>
                <w:color w:val="auto"/>
                <w:kern w:val="0"/>
                <w:sz w:val="22"/>
              </w:rPr>
            </w:pPr>
            <w:r>
              <w:rPr>
                <w:rFonts w:hint="eastAsia" w:ascii="仿宋" w:hAnsi="仿宋" w:eastAsia="仿宋" w:cs="宋体"/>
                <w:b/>
                <w:bCs/>
                <w:color w:val="auto"/>
                <w:kern w:val="0"/>
                <w:sz w:val="22"/>
              </w:rPr>
              <w:t>在校教学学时合计</w:t>
            </w:r>
          </w:p>
        </w:tc>
        <w:tc>
          <w:tcPr>
            <w:tcW w:w="600"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b/>
                <w:bCs/>
                <w:color w:val="auto"/>
                <w:kern w:val="0"/>
                <w:sz w:val="22"/>
              </w:rPr>
            </w:pPr>
            <w:r>
              <w:rPr>
                <w:rFonts w:hint="eastAsia" w:ascii="仿宋" w:hAnsi="仿宋" w:eastAsia="仿宋" w:cs="宋体"/>
                <w:b/>
                <w:bCs/>
                <w:color w:val="auto"/>
                <w:kern w:val="0"/>
                <w:sz w:val="22"/>
              </w:rPr>
              <w:t>　</w:t>
            </w:r>
          </w:p>
        </w:tc>
        <w:tc>
          <w:tcPr>
            <w:tcW w:w="709"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 w:val="22"/>
              </w:rPr>
            </w:pPr>
            <w:r>
              <w:rPr>
                <w:rFonts w:hint="eastAsia" w:ascii="方正仿宋_GBK" w:hAnsi="宋体" w:eastAsia="方正仿宋_GBK" w:cs="宋体"/>
                <w:b/>
                <w:bCs/>
                <w:color w:val="auto"/>
                <w:kern w:val="0"/>
                <w:sz w:val="22"/>
              </w:rPr>
              <w:t>2232</w:t>
            </w:r>
          </w:p>
        </w:tc>
        <w:tc>
          <w:tcPr>
            <w:tcW w:w="713"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 w:val="22"/>
              </w:rPr>
            </w:pPr>
            <w:r>
              <w:rPr>
                <w:rFonts w:hint="eastAsia" w:ascii="方正仿宋_GBK" w:hAnsi="宋体" w:eastAsia="方正仿宋_GBK" w:cs="宋体"/>
                <w:b/>
                <w:bCs/>
                <w:color w:val="auto"/>
                <w:kern w:val="0"/>
                <w:sz w:val="22"/>
              </w:rPr>
              <w:t>1596</w:t>
            </w:r>
          </w:p>
        </w:tc>
        <w:tc>
          <w:tcPr>
            <w:tcW w:w="674"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 w:val="22"/>
              </w:rPr>
            </w:pPr>
            <w:r>
              <w:rPr>
                <w:rFonts w:hint="eastAsia" w:ascii="方正仿宋_GBK" w:hAnsi="宋体" w:eastAsia="方正仿宋_GBK" w:cs="宋体"/>
                <w:b/>
                <w:bCs/>
                <w:color w:val="auto"/>
                <w:kern w:val="0"/>
                <w:sz w:val="22"/>
              </w:rPr>
              <w:t>636</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restart"/>
            <w:tcBorders>
              <w:top w:val="single" w:color="auto" w:sz="4" w:space="0"/>
              <w:left w:val="single" w:color="auto" w:sz="4" w:space="0"/>
              <w:bottom w:val="nil"/>
              <w:right w:val="single" w:color="000000"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综合实践</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岗位认知</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continue"/>
            <w:tcBorders>
              <w:top w:val="single" w:color="auto" w:sz="4" w:space="0"/>
              <w:left w:val="single" w:color="auto" w:sz="4" w:space="0"/>
              <w:bottom w:val="nil"/>
              <w:right w:val="single" w:color="000000" w:sz="4" w:space="0"/>
            </w:tcBorders>
            <w:vAlign w:val="center"/>
          </w:tcPr>
          <w:p>
            <w:pPr>
              <w:widowControl/>
              <w:jc w:val="left"/>
              <w:rPr>
                <w:rFonts w:ascii="仿宋" w:hAnsi="仿宋" w:eastAsia="仿宋" w:cs="宋体"/>
                <w:color w:val="000000"/>
                <w:kern w:val="0"/>
                <w:szCs w:val="21"/>
              </w:rPr>
            </w:pP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岗位见习</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continue"/>
            <w:tcBorders>
              <w:top w:val="single" w:color="auto" w:sz="4" w:space="0"/>
              <w:left w:val="single" w:color="auto" w:sz="4" w:space="0"/>
              <w:bottom w:val="nil"/>
              <w:right w:val="single" w:color="000000" w:sz="4" w:space="0"/>
            </w:tcBorders>
            <w:vAlign w:val="center"/>
          </w:tcPr>
          <w:p>
            <w:pPr>
              <w:widowControl/>
              <w:jc w:val="left"/>
              <w:rPr>
                <w:rFonts w:ascii="仿宋" w:hAnsi="仿宋" w:eastAsia="仿宋" w:cs="宋体"/>
                <w:color w:val="000000"/>
                <w:kern w:val="0"/>
                <w:szCs w:val="21"/>
              </w:rPr>
            </w:pP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岗位实习</w:t>
            </w:r>
            <w:r>
              <w:rPr>
                <w:rFonts w:hint="eastAsia" w:ascii="方正仿宋_GBK" w:hAnsi="宋体" w:eastAsia="方正仿宋_GBK" w:cs="宋体"/>
                <w:b/>
                <w:color w:val="FF0000"/>
                <w:kern w:val="0"/>
                <w:sz w:val="24"/>
                <w:szCs w:val="24"/>
                <w:vertAlign w:val="superscript"/>
              </w:rPr>
              <w:t>4</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5903" w:type="dxa"/>
            <w:gridSpan w:val="4"/>
            <w:tcBorders>
              <w:top w:val="nil"/>
              <w:left w:val="single" w:color="auto" w:sz="4" w:space="0"/>
              <w:bottom w:val="single" w:color="auto" w:sz="4" w:space="0"/>
              <w:right w:val="single" w:color="000000" w:sz="4" w:space="0"/>
            </w:tcBorders>
            <w:shd w:val="clear" w:color="000000" w:fill="auto"/>
            <w:vAlign w:val="center"/>
          </w:tcPr>
          <w:p>
            <w:pPr>
              <w:widowControl/>
              <w:jc w:val="center"/>
              <w:rPr>
                <w:rFonts w:ascii="方正仿宋_GBK" w:hAnsi="宋体" w:eastAsia="方正仿宋_GBK" w:cs="宋体"/>
                <w:b/>
                <w:bCs/>
                <w:color w:val="auto"/>
                <w:kern w:val="0"/>
                <w:sz w:val="24"/>
                <w:szCs w:val="24"/>
                <w:highlight w:val="none"/>
              </w:rPr>
            </w:pPr>
            <w:r>
              <w:rPr>
                <w:rFonts w:hint="eastAsia" w:ascii="方正仿宋_GBK" w:hAnsi="宋体" w:eastAsia="方正仿宋_GBK" w:cs="宋体"/>
                <w:b/>
                <w:bCs/>
                <w:color w:val="auto"/>
                <w:kern w:val="0"/>
                <w:sz w:val="24"/>
                <w:szCs w:val="24"/>
                <w:highlight w:val="none"/>
              </w:rPr>
              <w:t>综合实践学时合计</w:t>
            </w:r>
          </w:p>
        </w:tc>
        <w:tc>
          <w:tcPr>
            <w:tcW w:w="609" w:type="dxa"/>
            <w:tcBorders>
              <w:top w:val="nil"/>
              <w:left w:val="nil"/>
              <w:bottom w:val="single" w:color="auto" w:sz="4" w:space="0"/>
              <w:right w:val="single" w:color="auto" w:sz="4" w:space="0"/>
            </w:tcBorders>
            <w:shd w:val="clear" w:color="000000" w:fill="auto"/>
            <w:noWrap/>
            <w:vAlign w:val="bottom"/>
          </w:tcPr>
          <w:p>
            <w:pPr>
              <w:widowControl/>
              <w:jc w:val="left"/>
              <w:rPr>
                <w:rFonts w:ascii="宋体" w:hAnsi="宋体" w:cs="宋体"/>
                <w:b/>
                <w:bCs/>
                <w:color w:val="auto"/>
                <w:kern w:val="0"/>
                <w:sz w:val="22"/>
                <w:highlight w:val="none"/>
              </w:rPr>
            </w:pPr>
            <w:r>
              <w:rPr>
                <w:rFonts w:hint="eastAsia" w:ascii="宋体" w:hAnsi="宋体" w:cs="宋体"/>
                <w:b/>
                <w:bCs/>
                <w:color w:val="auto"/>
                <w:kern w:val="0"/>
                <w:sz w:val="22"/>
                <w:highlight w:val="none"/>
              </w:rPr>
              <w:t>　</w:t>
            </w:r>
          </w:p>
        </w:tc>
        <w:tc>
          <w:tcPr>
            <w:tcW w:w="600" w:type="dxa"/>
            <w:tcBorders>
              <w:top w:val="nil"/>
              <w:left w:val="nil"/>
              <w:bottom w:val="single" w:color="auto" w:sz="4" w:space="0"/>
              <w:right w:val="single" w:color="auto" w:sz="4" w:space="0"/>
            </w:tcBorders>
            <w:shd w:val="clear" w:color="000000" w:fill="auto"/>
            <w:noWrap/>
            <w:vAlign w:val="bottom"/>
          </w:tcPr>
          <w:p>
            <w:pPr>
              <w:widowControl/>
              <w:jc w:val="left"/>
              <w:rPr>
                <w:rFonts w:ascii="宋体" w:hAnsi="宋体" w:cs="宋体"/>
                <w:b/>
                <w:bCs/>
                <w:color w:val="auto"/>
                <w:kern w:val="0"/>
                <w:sz w:val="22"/>
                <w:highlight w:val="none"/>
              </w:rPr>
            </w:pPr>
            <w:r>
              <w:rPr>
                <w:rFonts w:hint="eastAsia" w:ascii="宋体" w:hAnsi="宋体" w:cs="宋体"/>
                <w:b/>
                <w:bCs/>
                <w:color w:val="auto"/>
                <w:kern w:val="0"/>
                <w:sz w:val="22"/>
                <w:highlight w:val="none"/>
              </w:rPr>
              <w:t>　</w:t>
            </w:r>
          </w:p>
        </w:tc>
        <w:tc>
          <w:tcPr>
            <w:tcW w:w="709"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Cs w:val="21"/>
                <w:highlight w:val="none"/>
              </w:rPr>
            </w:pPr>
            <w:r>
              <w:rPr>
                <w:rFonts w:hint="eastAsia" w:ascii="方正仿宋_GBK" w:hAnsi="宋体" w:eastAsia="方正仿宋_GBK" w:cs="宋体"/>
                <w:b/>
                <w:bCs/>
                <w:color w:val="auto"/>
                <w:kern w:val="0"/>
                <w:szCs w:val="21"/>
                <w:highlight w:val="none"/>
              </w:rPr>
              <w:t>1020</w:t>
            </w:r>
          </w:p>
        </w:tc>
        <w:tc>
          <w:tcPr>
            <w:tcW w:w="713"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Cs w:val="21"/>
                <w:highlight w:val="none"/>
              </w:rPr>
            </w:pPr>
            <w:r>
              <w:rPr>
                <w:rFonts w:hint="eastAsia" w:ascii="方正仿宋_GBK" w:hAnsi="宋体" w:eastAsia="方正仿宋_GBK" w:cs="宋体"/>
                <w:b/>
                <w:bCs/>
                <w:color w:val="auto"/>
                <w:kern w:val="0"/>
                <w:szCs w:val="21"/>
                <w:highlight w:val="none"/>
              </w:rPr>
              <w:t>　</w:t>
            </w:r>
          </w:p>
        </w:tc>
        <w:tc>
          <w:tcPr>
            <w:tcW w:w="674"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Cs w:val="21"/>
                <w:highlight w:val="none"/>
              </w:rPr>
            </w:pPr>
            <w:r>
              <w:rPr>
                <w:rFonts w:hint="eastAsia" w:ascii="方正仿宋_GBK" w:hAnsi="宋体" w:eastAsia="方正仿宋_GBK" w:cs="宋体"/>
                <w:b/>
                <w:bCs/>
                <w:color w:val="auto"/>
                <w:kern w:val="0"/>
                <w:szCs w:val="21"/>
                <w:highlight w:val="none"/>
              </w:rPr>
              <w:t>1020</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tcBorders>
              <w:top w:val="single" w:color="auto" w:sz="4" w:space="0"/>
              <w:left w:val="single" w:color="auto" w:sz="4" w:space="0"/>
              <w:bottom w:val="single" w:color="auto" w:sz="4" w:space="0"/>
              <w:right w:val="single" w:color="000000" w:sz="4" w:space="0"/>
            </w:tcBorders>
            <w:shd w:val="clear" w:color="000000" w:fill="auto"/>
            <w:noWrap/>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总学时数</w:t>
            </w:r>
          </w:p>
        </w:tc>
        <w:tc>
          <w:tcPr>
            <w:tcW w:w="600"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9"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3252</w:t>
            </w:r>
          </w:p>
        </w:tc>
        <w:tc>
          <w:tcPr>
            <w:tcW w:w="713"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1596</w:t>
            </w:r>
          </w:p>
        </w:tc>
        <w:tc>
          <w:tcPr>
            <w:tcW w:w="674"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1632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kern w:val="0"/>
                <w:szCs w:val="21"/>
              </w:rPr>
            </w:pPr>
            <w:r>
              <w:rPr>
                <w:rFonts w:hint="eastAsia" w:ascii="方正仿宋_GBK" w:hAnsi="宋体" w:eastAsia="方正仿宋_GBK" w:cs="宋体"/>
                <w:kern w:val="0"/>
                <w:szCs w:val="21"/>
              </w:rPr>
              <w:t xml:space="preserve">毕业考试课程：1.护理学基础2.内科护理 3.外科护理 4.护理技能操作                              </w:t>
            </w: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每学期开课门次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15</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Cs w:val="21"/>
              </w:rPr>
            </w:pP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考试门次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9</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Cs w:val="21"/>
              </w:rPr>
            </w:pP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考查门次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bl>
    <w:p>
      <w:pPr>
        <w:rPr>
          <w:rFonts w:hint="eastAsia"/>
        </w:rPr>
      </w:pPr>
    </w:p>
    <w:p>
      <w:pPr>
        <w:spacing w:line="440" w:lineRule="exact"/>
        <w:ind w:firstLine="490" w:firstLineChars="200"/>
        <w:rPr>
          <w:rFonts w:hint="eastAsia" w:ascii="方正仿宋_GBK" w:eastAsia="方正仿宋_GBK"/>
          <w:sz w:val="24"/>
          <w:szCs w:val="24"/>
        </w:rPr>
      </w:pPr>
      <w:r>
        <w:rPr>
          <w:rFonts w:hint="eastAsia" w:ascii="方正仿宋_GBK" w:eastAsia="方正仿宋_GBK"/>
          <w:sz w:val="24"/>
          <w:szCs w:val="24"/>
        </w:rPr>
        <w:t>注：</w:t>
      </w:r>
    </w:p>
    <w:p>
      <w:pPr>
        <w:spacing w:line="440" w:lineRule="exact"/>
        <w:ind w:firstLine="490" w:firstLineChars="200"/>
        <w:rPr>
          <w:rFonts w:hint="eastAsia" w:ascii="方正仿宋_GBK" w:eastAsia="方正仿宋_GBK"/>
          <w:sz w:val="24"/>
          <w:szCs w:val="24"/>
        </w:rPr>
        <w:sectPr>
          <w:pgSz w:w="16838" w:h="11906" w:orient="landscape"/>
          <w:pgMar w:top="1417" w:right="1417" w:bottom="1417" w:left="1417" w:header="851" w:footer="992" w:gutter="0"/>
          <w:cols w:space="0" w:num="1"/>
          <w:docGrid w:type="linesAndChars" w:linePitch="312" w:charSpace="1228"/>
        </w:sectPr>
      </w:pPr>
      <w:r>
        <w:rPr>
          <w:rFonts w:hint="eastAsia" w:ascii="方正仿宋_GBK" w:hAnsi="宋体" w:eastAsia="方正仿宋_GBK" w:cs="宋体"/>
          <w:b/>
          <w:kern w:val="0"/>
          <w:sz w:val="24"/>
          <w:szCs w:val="24"/>
          <w:vertAlign w:val="superscript"/>
        </w:rPr>
        <w:t>1</w:t>
      </w:r>
      <w:r>
        <w:rPr>
          <w:rFonts w:hint="eastAsia" w:ascii="方正仿宋_GBK" w:hAnsi="宋体" w:eastAsia="方正仿宋_GBK" w:cs="宋体"/>
          <w:kern w:val="0"/>
          <w:sz w:val="24"/>
          <w:szCs w:val="24"/>
        </w:rPr>
        <w:t>公共基础限定选修课4门，学生需选3门；</w:t>
      </w:r>
      <w:r>
        <w:rPr>
          <w:rFonts w:hint="eastAsia" w:ascii="方正仿宋_GBK" w:hAnsi="宋体" w:eastAsia="方正仿宋_GBK" w:cs="宋体"/>
          <w:b/>
          <w:kern w:val="0"/>
          <w:sz w:val="24"/>
          <w:szCs w:val="24"/>
          <w:vertAlign w:val="superscript"/>
        </w:rPr>
        <w:t>2</w:t>
      </w:r>
      <w:r>
        <w:rPr>
          <w:rFonts w:hint="eastAsia" w:ascii="方正仿宋_GBK" w:hAnsi="宋体" w:eastAsia="方正仿宋_GBK" w:cs="宋体"/>
          <w:kern w:val="0"/>
          <w:sz w:val="24"/>
          <w:szCs w:val="24"/>
        </w:rPr>
        <w:t>公共基础任意选修以专题讲座的形式开展，不计入总学时；</w:t>
      </w:r>
      <w:r>
        <w:rPr>
          <w:rFonts w:hint="eastAsia" w:ascii="方正仿宋_GBK" w:hAnsi="宋体" w:eastAsia="方正仿宋_GBK" w:cs="宋体"/>
          <w:b/>
          <w:kern w:val="0"/>
          <w:sz w:val="24"/>
          <w:szCs w:val="24"/>
          <w:vertAlign w:val="superscript"/>
        </w:rPr>
        <w:t>3</w:t>
      </w:r>
      <w:r>
        <w:rPr>
          <w:rFonts w:hint="eastAsia" w:ascii="方正仿宋_GBK" w:hAnsi="宋体" w:eastAsia="方正仿宋_GBK" w:cs="宋体"/>
          <w:kern w:val="0"/>
          <w:sz w:val="24"/>
          <w:szCs w:val="24"/>
        </w:rPr>
        <w:t>专业选修课程开设8门，学生需选修6门。</w:t>
      </w:r>
      <w:r>
        <w:rPr>
          <w:rFonts w:hint="eastAsia" w:ascii="方正仿宋_GBK" w:hAnsi="宋体" w:eastAsia="方正仿宋_GBK" w:cs="宋体"/>
          <w:b/>
          <w:kern w:val="0"/>
          <w:sz w:val="24"/>
          <w:szCs w:val="24"/>
          <w:vertAlign w:val="superscript"/>
        </w:rPr>
        <w:t>4</w:t>
      </w:r>
      <w:r>
        <w:rPr>
          <w:rFonts w:hint="eastAsia" w:ascii="方正仿宋_GBK" w:hAnsi="宋体" w:eastAsia="方正仿宋_GBK" w:cs="宋体"/>
          <w:kern w:val="0"/>
          <w:sz w:val="24"/>
          <w:szCs w:val="24"/>
        </w:rPr>
        <w:t>岗位实习8个月是依据《护士条例》要求安排。</w:t>
      </w:r>
    </w:p>
    <w:p>
      <w:pPr>
        <w:pStyle w:val="2"/>
        <w:spacing w:before="0" w:after="0" w:line="520" w:lineRule="exact"/>
        <w:ind w:firstLine="650" w:firstLineChars="200"/>
        <w:rPr>
          <w:rFonts w:ascii="方正仿宋_GBK" w:hAnsi="方正仿宋_GBK" w:eastAsia="方正仿宋_GBK" w:cs="方正仿宋_GBK"/>
          <w:bCs w:val="0"/>
          <w:sz w:val="32"/>
          <w:szCs w:val="32"/>
        </w:rPr>
      </w:pPr>
      <w:bookmarkStart w:id="17" w:name="_Toc108031857"/>
      <w:r>
        <w:rPr>
          <w:rFonts w:hint="eastAsia" w:ascii="方正黑体_GBK" w:hAnsi="方正黑体_GBK" w:eastAsia="方正黑体_GBK" w:cs="方正黑体_GBK"/>
          <w:bCs w:val="0"/>
          <w:sz w:val="32"/>
          <w:szCs w:val="32"/>
        </w:rPr>
        <w:t>八、实施保障</w:t>
      </w:r>
      <w:bookmarkEnd w:id="17"/>
    </w:p>
    <w:p>
      <w:pPr>
        <w:pStyle w:val="3"/>
        <w:spacing w:before="0" w:after="0" w:line="520" w:lineRule="exact"/>
        <w:ind w:firstLine="650" w:firstLineChars="200"/>
        <w:rPr>
          <w:rFonts w:ascii="方正楷体_GBK" w:hAnsi="方正楷体_GBK" w:eastAsia="方正楷体_GBK" w:cs="方正楷体_GBK"/>
          <w:bCs w:val="0"/>
        </w:rPr>
      </w:pPr>
      <w:bookmarkStart w:id="18" w:name="_Toc108031858"/>
      <w:r>
        <w:rPr>
          <w:rFonts w:hint="eastAsia" w:ascii="方正楷体_GBK" w:hAnsi="方正楷体_GBK" w:eastAsia="方正楷体_GBK" w:cs="方正楷体_GBK"/>
          <w:bCs w:val="0"/>
        </w:rPr>
        <w:t>（一）师资队伍</w:t>
      </w:r>
      <w:bookmarkEnd w:id="18"/>
    </w:p>
    <w:p>
      <w:pPr>
        <w:spacing w:line="52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本专业每年招生 900 人，在校生 2700 人，按照学生与教师比例 20：1配置专业教学团队。专业专任教师 142 人，兼职教师 22人、校内兼课教师 8人，兼职教师占专任教师总数的 17.44%；专业课教师 96 人，其中“双师型”教师 87 人，占专任专业课教师的90.63%。</w:t>
      </w:r>
    </w:p>
    <w:p>
      <w:pPr>
        <w:spacing w:line="52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高水平的师资队伍是专业教育教学质量的根本保证，建立和完善师资队伍建设长效机制。引进高学历人才，提高具有研究生以上学历或硕士以上学位人数所占比例。实施教师梯级培养工程，加强专业教学创新团队的培育工作，提升教师教育教学及研究能力。加强国际合作，选派教师外出学习国内外先进教育理念和专业技能。与企业合作搭建好教师成长的平台，按照教师专业发展的要求，完善教师行业实践管理机制，聘用行业企业资深骨干担任外聘教师，实现专业教学内容对接职业标准。各类教师工作职责见下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7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教师类别</w:t>
            </w:r>
          </w:p>
        </w:tc>
        <w:tc>
          <w:tcPr>
            <w:tcW w:w="7760" w:type="dxa"/>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工作职责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专业带头人</w:t>
            </w:r>
          </w:p>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（校内）</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负责护理专业建设，制定护理专业发展规划，组织实施人才培养方案，构建护理专业课程体系，带领团队进行“校企合作，课证融合”人才培养模式研究，探索模块化教学模式，指导培养团队成员。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专业带头人</w:t>
            </w:r>
          </w:p>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（校外）</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负责护理专业建设，制定护理专业发展规划，组织实施人才培养方案，构建护理专业课程体系，带领团队进行实践教学改革，探索院校合作的具体形式。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骨干教师</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参与护理专业建设，积极进行课程建设，研究“校企合作，课证融合”人才培养模式的教法、学法，与团队成员一起进行教学课题研究。参与校内外实训基地建设规划与实施，指导团队青年教师教学。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兼职教师</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参与护理专业建设，积极进行实践教学和见习、实习带教方法的改革，参与校内外实训基地建设规划与实施。与团队成员一起进行工学结合的课题研究。</w:t>
            </w:r>
          </w:p>
        </w:tc>
      </w:tr>
    </w:tbl>
    <w:p>
      <w:pPr>
        <w:spacing w:line="560" w:lineRule="exact"/>
        <w:ind w:firstLine="650" w:firstLineChars="200"/>
        <w:jc w:val="left"/>
        <w:outlineLvl w:val="1"/>
        <w:rPr>
          <w:rFonts w:ascii="方正楷体_GBK" w:hAnsi="方正楷体_GBK" w:eastAsia="方正楷体_GBK" w:cs="方正楷体_GBK"/>
          <w:b/>
          <w:bCs/>
          <w:sz w:val="32"/>
          <w:szCs w:val="32"/>
        </w:rPr>
      </w:pPr>
      <w:bookmarkStart w:id="19" w:name="_Toc108031859"/>
    </w:p>
    <w:p>
      <w:pPr>
        <w:spacing w:line="560" w:lineRule="exact"/>
        <w:ind w:firstLine="650" w:firstLineChars="200"/>
        <w:jc w:val="left"/>
        <w:outlineLvl w:val="1"/>
        <w:rPr>
          <w:rFonts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rPr>
        <w:t>（二）教学设施</w:t>
      </w:r>
      <w:bookmarkEnd w:id="19"/>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本专业应配备校内实习实训室和校外实训实习基地。</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1.校内实习实训室</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按教育部印发《职业院校护理专业仪器设备装备规范》要求，本专业校内实习实训室包括基础护理、专项护理和拓展护理三类，其中专项护理包括健康评估、内科护理、外科护理、手术护理、急救技术、重症监护、妇产科护理和儿科护理八类实训室；拓展护理包括康复护理、老年护理、社区护理、精神科护理、母婴护理、护理礼仪和心理护理七类实训室，目前校内除无精神科护理技术实训室外，其余实训室均达到或超过教育部装备标准。今后的校内实训基地建设中，应加强精神科护理技术实训室建设，并进一步充实和完善虚拟仿真实训系统，实现“智慧实训”。</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学校现有的基础护理及内科护理、外科护理、妇产科护理、儿科护理等专项护理实训室主要设施设备及数量见下表。</w:t>
      </w:r>
    </w:p>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（1）基础护理实训室设施设备</w:t>
      </w:r>
    </w:p>
    <w:tbl>
      <w:tblPr>
        <w:tblStyle w:val="15"/>
        <w:tblW w:w="8647" w:type="dxa"/>
        <w:tblInd w:w="392" w:type="dxa"/>
        <w:tblLayout w:type="fixed"/>
        <w:tblCellMar>
          <w:top w:w="0" w:type="dxa"/>
          <w:left w:w="108" w:type="dxa"/>
          <w:bottom w:w="0" w:type="dxa"/>
          <w:right w:w="108" w:type="dxa"/>
        </w:tblCellMar>
      </w:tblPr>
      <w:tblGrid>
        <w:gridCol w:w="916"/>
        <w:gridCol w:w="3195"/>
        <w:gridCol w:w="850"/>
        <w:gridCol w:w="1276"/>
        <w:gridCol w:w="2410"/>
      </w:tblGrid>
      <w:tr>
        <w:tblPrEx>
          <w:tblCellMar>
            <w:top w:w="0" w:type="dxa"/>
            <w:left w:w="108" w:type="dxa"/>
            <w:bottom w:w="0" w:type="dxa"/>
            <w:right w:w="108" w:type="dxa"/>
          </w:tblCellMar>
        </w:tblPrEx>
        <w:trPr>
          <w:trHeight w:val="625"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护士站</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1套/模拟病区</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多功能病床（配全套床上用品及床头柜、床旁椅等）</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张</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1张/4生组</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无菌技术操作用物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隔离技术用物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多功能护理人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压疮仿真模型（I~IV期）</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口腔护理牙模型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8</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洗胃模型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9</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女性导尿模型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男性导尿模型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灌肠与肛管排气训练仿真模型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超声雾化器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皮内注射模型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14</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上臂肌肉、皮下注射模型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15</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臀部肌肉注射模型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16</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静脉注射手臂模型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17</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输液泵</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18</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静脉注射泵</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19</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抢救车</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辆</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2辆/示教室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20</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心肺复苏模拟人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3具/20生组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全自动洗胃机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电动吸引器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给氧装置（全套）</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1套/20生组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（2）内科护理实训室设施设备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智能化胸腹部检查教学系统（教师机）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智能化胸腹部检查教学系统（学生机）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人工呼吸机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心电监护仪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心电图机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各种穿刺模拟人及穿刺包</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（3）外科护理实训室设施设备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多功能创伤护理模型病人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2具/示教室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局部创伤模型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换药车</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闭式引流拔管换药模型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气管切开护理模型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瘘管造口术护理仿真模型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3具/20生组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胃肠减压器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个</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1个/2生组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（4）妇产科护理实训室设施设备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女性骨盆模型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女性骨盆附生殖器官模型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高级电脑孕妇检查模型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多普勒胎心监护仪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胎心监护仪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分娩机制示教模型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高级会阴切开缝合技能训练模型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8</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新生儿脐带处理模型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9</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高级分娩与母子急救模型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妇科检查模型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（5）儿科护理实训室设施设备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高级婴儿护理模型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新生儿沐浴设备及用物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婴儿护理模型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个</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1个/4生组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红外线灯或鹅颈灯</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高级婴儿头部综合静脉穿刺模型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bl>
    <w:p>
      <w:pPr>
        <w:pStyle w:val="13"/>
        <w:tabs>
          <w:tab w:val="center" w:pos="4153"/>
        </w:tabs>
        <w:spacing w:before="0" w:after="0" w:line="560" w:lineRule="exact"/>
        <w:ind w:firstLine="642" w:firstLineChars="200"/>
        <w:jc w:val="left"/>
        <w:outlineLvl w:val="9"/>
        <w:rPr>
          <w:rFonts w:ascii="方正仿宋_GBK" w:hAnsi="方正仿宋_GBK" w:eastAsia="方正仿宋_GBK" w:cs="方正仿宋_GBK"/>
          <w:spacing w:val="-2"/>
          <w:kern w:val="0"/>
        </w:rPr>
      </w:pPr>
      <w:r>
        <w:rPr>
          <w:rFonts w:hint="eastAsia" w:ascii="方正仿宋_GBK" w:hAnsi="方正仿宋_GBK" w:eastAsia="方正仿宋_GBK" w:cs="方正仿宋_GBK"/>
          <w:spacing w:val="-2"/>
          <w:kern w:val="0"/>
        </w:rPr>
        <w:t>2.校外实训实习基地</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学校有附属医院一所，建院近 50 年，建筑面积 1 万余平方，开放床位 60 张，是城乡居民医保和城镇职工医保定点医院、工伤医疗民政救助定点医院、高考体检指定医院，是学校教师行业实践基地和学生岗位实习和见习基地。通过建立医教结合管理机制，整合场地、人员、设施等资源，实施教学内容与临床标准一体化，教学过程与临床过程一体化，教学场所与医院病房一体化，学生与实习护士、医生一体化，教师与护士、医生一体化，实现了 “学做合一、生产与实训合一、教学与医疗服务合一”。学校施行的“医教结合，五维一体”护理专业人才培养模式获评省级教学成果二等奖。</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本专业现有其他校外实训实习基地 39 家，其中在青海西宁有 2 家，承担青海藏区护理专业学生顶岗实习。学校积极与校外实习基地合作探索校企合作多种有效模式。包括专业、课程共建，员工教师双向培养，学生专业能力共育等。学校实习工作严格执行《职业学校学生实习管理规定》，强化以育人为目标的实习过程管理和考核评价，完善学生实习责任保险、信息通报等安全制度，根据实训项目内容和见习、实习学生数量选聘实习带教教师原则上一名教师带教学生不超过 2 人。</w:t>
      </w:r>
    </w:p>
    <w:p>
      <w:pPr>
        <w:pStyle w:val="3"/>
        <w:spacing w:before="0" w:after="0" w:line="560" w:lineRule="exact"/>
        <w:ind w:firstLine="650" w:firstLineChars="200"/>
        <w:rPr>
          <w:rFonts w:ascii="方正楷体_GBK" w:hAnsi="方正楷体_GBK" w:eastAsia="方正楷体_GBK" w:cs="方正楷体_GBK"/>
        </w:rPr>
      </w:pPr>
      <w:bookmarkStart w:id="20" w:name="_Toc108031860"/>
      <w:r>
        <w:rPr>
          <w:rFonts w:hint="eastAsia" w:ascii="方正楷体_GBK" w:hAnsi="方正楷体_GBK" w:eastAsia="方正楷体_GBK" w:cs="方正楷体_GBK"/>
        </w:rPr>
        <w:t>（三）教学资源</w:t>
      </w:r>
      <w:bookmarkEnd w:id="20"/>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1.教材开发及使用要求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教材的开发和使用严格执行教育部《职业院校教材管理办法》和学校《教材选用与管理制度》，思想政治、语文、历史三科，必须使用国家统编教材，公共基础必修课教材须在国务院教育行政部门发布的国家规划教材目录中选用，专业核心课程教材原则上从国家和市教育行政部门发布的规划教材目录中选用。教材选用申请需最终交学校教材选用委员会审核，教务科应将当年教材选用情况汇总后报区教委备案。学校鼓励和支持专业部和各教研组按照模块化教学的要求及老年照护、母婴护理 1+X 证书的要求，编写活页式、工作手册式校本教材。</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2.图书资料和数字资源配备</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学校图书馆有纸质图书 11.62 万册，电子图书 10 万册，开通中国知网数据库，满足学生专业发展和素质发展需要。共建共享全国护理专业精品课程资源平台，有精品网络课程（《基础护理》、《内科护理》、《外科护理》、《妇产科护理》、《儿科护理》），有数字化解剖互动教学平台、数字化急救训练及考核系统、OSCE 标准化考站、执业护士资格模拟考试系统、七天网络阅卷系统，钉钉班级管理平台、学习通教学平台、希沃易+平台等，满足师生线上教学、线上线下混合式教学需要。</w:t>
      </w:r>
    </w:p>
    <w:p>
      <w:pPr>
        <w:pStyle w:val="3"/>
        <w:spacing w:before="0" w:after="0" w:line="560" w:lineRule="exact"/>
        <w:ind w:firstLine="650" w:firstLineChars="200"/>
        <w:rPr>
          <w:rFonts w:ascii="方正楷体_GBK" w:hAnsi="方正楷体_GBK" w:eastAsia="方正楷体_GBK" w:cs="方正楷体_GBK"/>
        </w:rPr>
      </w:pPr>
      <w:bookmarkStart w:id="21" w:name="_Toc108031861"/>
      <w:r>
        <w:rPr>
          <w:rFonts w:hint="eastAsia" w:ascii="方正楷体_GBK" w:hAnsi="方正楷体_GBK" w:eastAsia="方正楷体_GBK" w:cs="方正楷体_GBK"/>
        </w:rPr>
        <w:t>（四）教学方法</w:t>
      </w:r>
      <w:bookmarkEnd w:id="21"/>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1.文化素养与专业基础课</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文化素养课与职业基础课旨在培养学生科学文化素养和医学基础知识，服务学生专业学习和终身发展。将“仁道”为核心理念的人文关怀贯穿到整个教学过程。注重充分调动学生学习积极性，在教学组织形式、教学手段等方面开展改革与创新，探索适合中职学生思维和学习习惯的教学方法，提高学生学习兴趣，为学生综合素质的提高、职业能力的形成和可持续发展奠定基础。</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2.专业（技能）课</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结合护理专业人才培养特点和专业能力素质要求，梳理专业课程的思想政治教育元素，发挥专业课程承载的思想政治教育功能，推动专业课教学与思想政治理论课教学紧密结合，同向同行。</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专业课按照医院、社区、养老等护理相应职业岗位群的能力要求，强化基础护理、专科护理、病房管理、社区护理、老年护理、健康指导等工作岗位的能力培养要素。突出“做中学、做中教”的职业教育教学特色，提倡项目教学、情境教学、案例教学、模块化教学、色扮演等教学方式，运用启发式、探究式、讨论式、参与式等教学方法，推广翻转教学、混合式教学、理实一体教学等新型教学模式，加强课堂教学管理，规范教学秩序，打造优质课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基础课和专业（技能）课教学，要适应“互联网+职业教育”新要求，全面提升教师信息技术应用能力，推动大数据、人工智能、虚拟现实等现代信息技术在教育教学中的广泛应用，推动教师在教育理念、教学观念、教学内容、教学方法等方面的改变。学校要加快建设智能化教学支持环境，建设能够满足学生多样化需求的课程资源，以服务学生终身学习。</w:t>
      </w:r>
    </w:p>
    <w:p>
      <w:pPr>
        <w:pStyle w:val="3"/>
        <w:spacing w:before="0" w:after="0" w:line="560" w:lineRule="exact"/>
        <w:ind w:firstLine="650" w:firstLineChars="200"/>
        <w:rPr>
          <w:rFonts w:ascii="方正仿宋_GBK" w:hAnsi="方正仿宋_GBK" w:eastAsia="方正仿宋_GBK" w:cs="方正仿宋_GBK"/>
        </w:rPr>
      </w:pPr>
      <w:bookmarkStart w:id="22" w:name="_Toc108031862"/>
      <w:r>
        <w:rPr>
          <w:rFonts w:hint="eastAsia" w:ascii="方正楷体_GBK" w:hAnsi="方正楷体_GBK" w:eastAsia="方正楷体_GBK" w:cs="方正楷体_GBK"/>
        </w:rPr>
        <w:t>（五）学习评价</w:t>
      </w:r>
      <w:bookmarkEnd w:id="22"/>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本专业培养目标，建立以学生职业素养、岗位能力培养为核心，教育与产业、校内与校外相结合的科学评价标准。评价环节包括对教学过程中教师、学生、教学内容、教学方法、教学手段、教学环境、教学管理等因素的评价，强化对学生学习效果和教师教学过程的评价。采用学分制、多层次、多元化的考评方法，引导学生全面提升和个性发展。</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教学评价体现评价主体、评价方式、评价过程的多元化，注意吸收学生家长、行业企业专家、优秀毕业生参与。校内、校外评价相结合，执业护士资格考试、1+X 职业等级证书考试与学业考核相结合，教师评价、学生互评与自我评价结合，过程性评价与结果性评价结合。既要关注学生对必需知识的理解和岗位技能的掌握，更要关注相关知识在解决岗位工作中实际问题的能力水平，重视岗位规范操作、安全文明生产等职业素质的形成，以及节约能源、节省原材料与爱护岗位设备，保护环境等意识与观念的树立。</w:t>
      </w:r>
    </w:p>
    <w:p>
      <w:pPr>
        <w:pStyle w:val="3"/>
        <w:spacing w:before="0" w:after="0" w:line="560" w:lineRule="exact"/>
        <w:ind w:firstLine="650" w:firstLineChars="200"/>
        <w:rPr>
          <w:rFonts w:ascii="方正楷体_GBK" w:hAnsi="方正楷体_GBK" w:eastAsia="方正楷体_GBK" w:cs="方正楷体_GBK"/>
        </w:rPr>
      </w:pPr>
      <w:bookmarkStart w:id="23" w:name="_Toc108031863"/>
      <w:r>
        <w:rPr>
          <w:rFonts w:hint="eastAsia" w:ascii="方正楷体_GBK" w:hAnsi="方正楷体_GBK" w:eastAsia="方正楷体_GBK" w:cs="方正楷体_GBK"/>
        </w:rPr>
        <w:t>（六）质量管理</w:t>
      </w:r>
      <w:bookmarkEnd w:id="23"/>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健全护理专业人才培养方案实施情况的评价、反馈和改进机制，以保障和提高教学质量为目标，统筹考虑影响教学质量的各主要因素，结合教学诊断与改进、质量年报等自主保证人才培养质量的工作，统筹管理学校各部门、各环节的教学质量管理活动，形成任务、职责、权限明确，相互协调、相互促进的质量管理有机整体。专业教学质量监控体系见下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985"/>
        <w:gridCol w:w="3544"/>
        <w:gridCol w:w="1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监控环节</w:t>
            </w:r>
          </w:p>
        </w:tc>
        <w:tc>
          <w:tcPr>
            <w:tcW w:w="1985"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监控点</w:t>
            </w:r>
          </w:p>
        </w:tc>
        <w:tc>
          <w:tcPr>
            <w:tcW w:w="3544"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监控方法与手段</w:t>
            </w:r>
          </w:p>
        </w:tc>
        <w:tc>
          <w:tcPr>
            <w:tcW w:w="1948"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课堂教学</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课堂教学</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中期考试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期末考试</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随机听课</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学生作业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实训室使用记录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实践技能考核</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课程考核、期末试卷及试卷分析</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教务科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教研督导室</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教学见习</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教学见习文件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见习教学</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教学见习记录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学生教学见习报告</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学生反馈、教学评价</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医院护理部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专业指导委员会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教学管理委员会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顶岗实习</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实践教学文件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实习大纲</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教学查房</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实习带教</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出科考核</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毕业考试</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教学查房记录、讲座记录、实习</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手册</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出科考核内容、成绩及分析</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毕业考试考核内容、成绩及分析</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学生反馈、教学评价</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医院护理部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实训科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教务科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教研督导室</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bl>
    <w:p>
      <w:pPr>
        <w:spacing w:line="560" w:lineRule="exact"/>
        <w:ind w:firstLine="650" w:firstLineChars="200"/>
        <w:jc w:val="left"/>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完善毕业生跟踪反馈机制及社会评价机制，了解社会对学生知识、技能、职业素养的评价情况，跟踪学生毕业后的职业发展情况，为学校质量管理提供依据和建议。</w:t>
      </w:r>
    </w:p>
    <w:p>
      <w:pPr>
        <w:spacing w:line="560" w:lineRule="exact"/>
        <w:ind w:firstLine="650" w:firstLineChars="200"/>
        <w:jc w:val="left"/>
        <w:rPr>
          <w:rFonts w:ascii="方正仿宋_GBK" w:hAnsi="方正仿宋_GBK" w:eastAsia="方正仿宋_GBK" w:cs="方正仿宋_GBK"/>
          <w:b/>
          <w:bCs/>
          <w:sz w:val="32"/>
          <w:szCs w:val="32"/>
        </w:rPr>
      </w:pPr>
      <w:r>
        <w:rPr>
          <w:rFonts w:hint="eastAsia" w:ascii="方正仿宋_GBK" w:hAnsi="方正仿宋_GBK" w:eastAsia="方正仿宋_GBK" w:cs="方正仿宋_GBK"/>
          <w:bCs/>
          <w:sz w:val="32"/>
          <w:szCs w:val="32"/>
        </w:rPr>
        <w:t>探索人工智能等技术运用，了解和掌握师生课堂教学环节，让质量管理科学化、多样化。</w:t>
      </w:r>
      <w:r>
        <w:rPr>
          <w:rFonts w:hint="eastAsia" w:ascii="方正仿宋_GBK" w:hAnsi="方正仿宋_GBK" w:eastAsia="方正仿宋_GBK" w:cs="方正仿宋_GBK"/>
          <w:sz w:val="32"/>
          <w:szCs w:val="32"/>
        </w:rPr>
        <w:t xml:space="preserve">                                                                                                                                                          </w:t>
      </w:r>
    </w:p>
    <w:p>
      <w:pPr>
        <w:pStyle w:val="2"/>
        <w:spacing w:before="0" w:after="0" w:line="500" w:lineRule="exact"/>
        <w:ind w:firstLine="650" w:firstLineChars="200"/>
        <w:rPr>
          <w:rFonts w:ascii="方正黑体_GBK" w:hAnsi="方正黑体_GBK" w:eastAsia="方正黑体_GBK" w:cs="方正黑体_GBK"/>
          <w:sz w:val="32"/>
          <w:szCs w:val="32"/>
        </w:rPr>
      </w:pPr>
      <w:bookmarkStart w:id="24" w:name="_Toc108031864"/>
      <w:r>
        <w:rPr>
          <w:rFonts w:hint="eastAsia" w:ascii="方正黑体_GBK" w:hAnsi="方正黑体_GBK" w:eastAsia="方正黑体_GBK" w:cs="方正黑体_GBK"/>
          <w:bCs w:val="0"/>
          <w:sz w:val="32"/>
          <w:szCs w:val="32"/>
        </w:rPr>
        <w:t>九、毕业要求</w:t>
      </w:r>
      <w:bookmarkEnd w:id="24"/>
    </w:p>
    <w:p>
      <w:pPr>
        <w:pStyle w:val="3"/>
        <w:spacing w:before="0" w:after="0" w:line="500" w:lineRule="exact"/>
        <w:ind w:firstLine="650" w:firstLineChars="200"/>
        <w:rPr>
          <w:rFonts w:ascii="方正楷体_GBK" w:hAnsi="方正楷体_GBK" w:eastAsia="方正楷体_GBK" w:cs="方正楷体_GBK"/>
        </w:rPr>
      </w:pPr>
      <w:bookmarkStart w:id="25" w:name="_Toc108031865"/>
      <w:r>
        <w:rPr>
          <w:rFonts w:hint="eastAsia" w:ascii="方正楷体_GBK" w:hAnsi="方正楷体_GBK" w:eastAsia="方正楷体_GBK" w:cs="方正楷体_GBK"/>
        </w:rPr>
        <w:t>（一）学业考核要求</w:t>
      </w:r>
      <w:bookmarkEnd w:id="25"/>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护理专业培养目标和培养规格，结合学校办学实际，明确对学生学业成绩、实践经历、综合素质等方面的考核要求、考核方式和考核标准，以及学生毕业时应完成的规定学时学分，有效促进毕业要求的达成度。</w:t>
      </w:r>
    </w:p>
    <w:p>
      <w:pPr>
        <w:pStyle w:val="3"/>
        <w:spacing w:before="0" w:after="0" w:line="500" w:lineRule="exact"/>
        <w:ind w:firstLine="650" w:firstLineChars="200"/>
        <w:rPr>
          <w:rFonts w:ascii="方正楷体_GBK" w:hAnsi="方正楷体_GBK" w:eastAsia="方正楷体_GBK" w:cs="方正楷体_GBK"/>
        </w:rPr>
      </w:pPr>
      <w:bookmarkStart w:id="26" w:name="_Toc108031866"/>
      <w:r>
        <w:rPr>
          <w:rFonts w:hint="eastAsia" w:ascii="方正楷体_GBK" w:hAnsi="方正楷体_GBK" w:eastAsia="方正楷体_GBK" w:cs="方正楷体_GBK"/>
        </w:rPr>
        <w:t>（二）证书考取要求</w:t>
      </w:r>
      <w:bookmarkEnd w:id="26"/>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根据职业岗位需求，对接可考取的国家护士执业资格证书和1+X 技能等级证书老年照护、母婴护理等职业资格技能级证书，明确证书有关内容有机融入专业课程教学的途径、方法和要求。对获得上述资格证书和等级证书的学生，相关课程评定为合格。</w:t>
      </w:r>
    </w:p>
    <w:p>
      <w:pPr>
        <w:pStyle w:val="3"/>
        <w:spacing w:before="0" w:after="0" w:line="500" w:lineRule="exact"/>
        <w:ind w:firstLine="650" w:firstLineChars="200"/>
        <w:rPr>
          <w:rFonts w:ascii="方正楷体_GBK" w:hAnsi="方正楷体_GBK" w:eastAsia="方正楷体_GBK" w:cs="方正楷体_GBK"/>
        </w:rPr>
      </w:pPr>
      <w:bookmarkStart w:id="27" w:name="_Toc108031867"/>
      <w:r>
        <w:rPr>
          <w:rFonts w:hint="eastAsia" w:ascii="方正楷体_GBK" w:hAnsi="方正楷体_GBK" w:eastAsia="方正楷体_GBK" w:cs="方正楷体_GBK"/>
        </w:rPr>
        <w:t>（三）毕业要求</w:t>
      </w:r>
      <w:bookmarkEnd w:id="27"/>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在规定的学习年限内，同时达到以下要求，准予毕业：</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1.综合素质考核合格；</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2.修满专业人才培养方案规定的全部课程且成绩合格；</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3.顶岗实习考核合格。</w:t>
      </w:r>
    </w:p>
    <w:p>
      <w:pPr>
        <w:pStyle w:val="2"/>
        <w:spacing w:before="0" w:after="0" w:line="500" w:lineRule="exact"/>
        <w:ind w:firstLine="650" w:firstLineChars="200"/>
        <w:rPr>
          <w:rFonts w:ascii="方正黑体_GBK" w:hAnsi="方正黑体_GBK" w:eastAsia="方正黑体_GBK" w:cs="方正黑体_GBK"/>
          <w:bCs w:val="0"/>
          <w:sz w:val="32"/>
          <w:szCs w:val="32"/>
        </w:rPr>
      </w:pPr>
      <w:bookmarkStart w:id="28" w:name="_Toc108031868"/>
      <w:r>
        <w:rPr>
          <w:rFonts w:hint="eastAsia" w:ascii="方正黑体_GBK" w:hAnsi="方正黑体_GBK" w:eastAsia="方正黑体_GBK" w:cs="方正黑体_GBK"/>
          <w:bCs w:val="0"/>
          <w:sz w:val="32"/>
          <w:szCs w:val="32"/>
        </w:rPr>
        <w:t>十、其他</w:t>
      </w:r>
      <w:bookmarkEnd w:id="28"/>
    </w:p>
    <w:p>
      <w:pPr>
        <w:spacing w:line="500" w:lineRule="exact"/>
        <w:ind w:firstLine="650" w:firstLineChars="200"/>
        <w:outlineLvl w:val="1"/>
        <w:rPr>
          <w:rFonts w:ascii="方正楷体_GBK" w:hAnsi="方正楷体_GBK" w:eastAsia="方正楷体_GBK" w:cs="方正楷体_GBK"/>
          <w:b/>
          <w:bCs/>
          <w:sz w:val="32"/>
          <w:szCs w:val="32"/>
        </w:rPr>
      </w:pPr>
      <w:bookmarkStart w:id="29" w:name="_Toc108031869"/>
      <w:r>
        <w:rPr>
          <w:rFonts w:hint="eastAsia" w:ascii="方正楷体_GBK" w:hAnsi="方正楷体_GBK" w:eastAsia="方正楷体_GBK" w:cs="方正楷体_GBK"/>
          <w:b/>
          <w:bCs/>
          <w:sz w:val="32"/>
          <w:szCs w:val="32"/>
        </w:rPr>
        <w:t>（一）编写依据</w:t>
      </w:r>
      <w:bookmarkEnd w:id="29"/>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1.教育部《关于职业院校专业人才培养方案制订与实施工作的指导意见》。</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2.教育部《中等职业学校护理专业教学标准》。</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3.教育部《职业院校护理专业仪器设备装备规范》。</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4.教育部《中等职业学校护理专业顶岗实习标准》。</w:t>
      </w:r>
    </w:p>
    <w:p>
      <w:pPr>
        <w:spacing w:line="500" w:lineRule="exact"/>
        <w:ind w:firstLine="650" w:firstLineChars="200"/>
        <w:outlineLvl w:val="1"/>
        <w:rPr>
          <w:rFonts w:ascii="方正楷体_GBK" w:hAnsi="方正楷体_GBK" w:eastAsia="方正楷体_GBK" w:cs="方正楷体_GBK"/>
          <w:b/>
          <w:bCs/>
          <w:sz w:val="32"/>
          <w:szCs w:val="32"/>
        </w:rPr>
      </w:pPr>
      <w:bookmarkStart w:id="30" w:name="_Toc108031870"/>
      <w:r>
        <w:rPr>
          <w:rFonts w:hint="eastAsia" w:ascii="方正楷体_GBK" w:hAnsi="方正楷体_GBK" w:eastAsia="方正楷体_GBK" w:cs="方正楷体_GBK"/>
          <w:b/>
          <w:bCs/>
          <w:sz w:val="32"/>
          <w:szCs w:val="32"/>
        </w:rPr>
        <w:t>（二）运用范围</w:t>
      </w:r>
      <w:bookmarkEnd w:id="30"/>
    </w:p>
    <w:p>
      <w:pPr>
        <w:spacing w:line="500" w:lineRule="exact"/>
        <w:ind w:firstLine="650" w:firstLineChars="200"/>
        <w:rPr>
          <w:rFonts w:asciiTheme="minorEastAsia" w:hAnsiTheme="minorEastAsia" w:eastAsiaTheme="minorEastAsia"/>
          <w:sz w:val="24"/>
          <w:szCs w:val="24"/>
        </w:rPr>
      </w:pPr>
      <w:r>
        <w:rPr>
          <w:rFonts w:hint="eastAsia" w:ascii="方正仿宋_GBK" w:hAnsi="方正仿宋_GBK" w:eastAsia="方正仿宋_GBK" w:cs="方正仿宋_GBK"/>
          <w:bCs/>
          <w:sz w:val="32"/>
          <w:szCs w:val="32"/>
        </w:rPr>
        <w:t>本方案自 202</w:t>
      </w:r>
      <w:r>
        <w:rPr>
          <w:rFonts w:hint="eastAsia" w:ascii="方正仿宋_GBK" w:hAnsi="方正仿宋_GBK" w:eastAsia="方正仿宋_GBK" w:cs="方正仿宋_GBK"/>
          <w:bCs/>
          <w:sz w:val="32"/>
          <w:szCs w:val="32"/>
          <w:lang w:val="en-US" w:eastAsia="zh-CN"/>
        </w:rPr>
        <w:t>2</w:t>
      </w:r>
      <w:r>
        <w:rPr>
          <w:rFonts w:hint="eastAsia" w:ascii="方正仿宋_GBK" w:hAnsi="方正仿宋_GBK" w:eastAsia="方正仿宋_GBK" w:cs="方正仿宋_GBK"/>
          <w:bCs/>
          <w:sz w:val="32"/>
          <w:szCs w:val="32"/>
        </w:rPr>
        <w:t>/202</w:t>
      </w:r>
      <w:r>
        <w:rPr>
          <w:rFonts w:hint="eastAsia" w:ascii="方正仿宋_GBK" w:hAnsi="方正仿宋_GBK" w:eastAsia="方正仿宋_GBK" w:cs="方正仿宋_GBK"/>
          <w:bCs/>
          <w:sz w:val="32"/>
          <w:szCs w:val="32"/>
          <w:lang w:val="en-US" w:eastAsia="zh-CN"/>
        </w:rPr>
        <w:t>3</w:t>
      </w:r>
      <w:r>
        <w:rPr>
          <w:rFonts w:hint="eastAsia" w:ascii="方正仿宋_GBK" w:hAnsi="方正仿宋_GBK" w:eastAsia="方正仿宋_GBK" w:cs="方正仿宋_GBK"/>
          <w:bCs/>
          <w:sz w:val="32"/>
          <w:szCs w:val="32"/>
        </w:rPr>
        <w:t xml:space="preserve"> 学年度下期开始执行，202</w:t>
      </w:r>
      <w:r>
        <w:rPr>
          <w:rFonts w:hint="eastAsia" w:ascii="方正仿宋_GBK" w:hAnsi="方正仿宋_GBK" w:eastAsia="方正仿宋_GBK" w:cs="方正仿宋_GBK"/>
          <w:bCs/>
          <w:sz w:val="32"/>
          <w:szCs w:val="32"/>
          <w:lang w:val="en-US" w:eastAsia="zh-CN"/>
        </w:rPr>
        <w:t>2</w:t>
      </w:r>
      <w:r>
        <w:rPr>
          <w:rFonts w:hint="eastAsia" w:ascii="方正仿宋_GBK" w:hAnsi="方正仿宋_GBK" w:eastAsia="方正仿宋_GBK" w:cs="方正仿宋_GBK"/>
          <w:bCs/>
          <w:sz w:val="32"/>
          <w:szCs w:val="32"/>
        </w:rPr>
        <w:t xml:space="preserve"> 级及以后年级中职护理专业适用。</w:t>
      </w:r>
      <w:r>
        <w:rPr>
          <w:rFonts w:cs="宋体" w:asciiTheme="minorEastAsia" w:hAnsiTheme="minorEastAsia" w:eastAsiaTheme="minorEastAsia"/>
          <w:sz w:val="24"/>
          <w:szCs w:val="24"/>
        </w:rPr>
        <w:t xml:space="preserve">               </w:t>
      </w:r>
      <w:r>
        <w:rPr>
          <w:rFonts w:hint="eastAsia" w:cs="宋体" w:asciiTheme="minorEastAsia" w:hAnsiTheme="minorEastAsia" w:eastAsiaTheme="minorEastAsia"/>
          <w:sz w:val="24"/>
          <w:szCs w:val="24"/>
        </w:rPr>
        <w:t xml:space="preserve">                   </w:t>
      </w:r>
      <w:r>
        <w:rPr>
          <w:rFonts w:hint="eastAsia" w:asciiTheme="minorEastAsia" w:hAnsiTheme="minorEastAsia" w:eastAsiaTheme="minorEastAsia"/>
          <w:bCs/>
          <w:sz w:val="32"/>
          <w:szCs w:val="32"/>
        </w:rPr>
        <w:t xml:space="preserve">      </w:t>
      </w:r>
      <w:r>
        <w:rPr>
          <w:rFonts w:hint="eastAsia" w:asciiTheme="minorEastAsia" w:hAnsiTheme="minorEastAsia" w:eastAsiaTheme="minorEastAsia"/>
          <w:sz w:val="24"/>
          <w:szCs w:val="24"/>
        </w:rPr>
        <w:t xml:space="preserve">                 </w:t>
      </w:r>
    </w:p>
    <w:p>
      <w:pPr>
        <w:spacing w:line="500" w:lineRule="exact"/>
        <w:ind w:firstLine="490" w:firstLineChars="200"/>
        <w:rPr>
          <w:rFonts w:cs="宋体" w:asciiTheme="minorEastAsia" w:hAnsiTheme="minorEastAsia" w:eastAsiaTheme="minorEastAsia"/>
          <w:color w:val="FF0000"/>
          <w:sz w:val="24"/>
          <w:szCs w:val="24"/>
        </w:rPr>
      </w:pPr>
    </w:p>
    <w:sectPr>
      <w:pgSz w:w="11906" w:h="16838"/>
      <w:pgMar w:top="1417" w:right="1417" w:bottom="1417" w:left="1417" w:header="851" w:footer="992" w:gutter="0"/>
      <w:cols w:space="0" w:num="1"/>
      <w:docGrid w:type="linesAndChars" w:linePitch="312" w:charSpace="122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6B88FC6-C532-415A-AC88-838674EDD08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B62427A-8A6A-4870-A720-CA5C9C2114C2}"/>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embedRegular r:id="rId3" w:fontKey="{8271A068-C4AA-4862-AE77-563AB561EBD4}"/>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wiss"/>
    <w:pitch w:val="default"/>
    <w:sig w:usb0="00000001" w:usb1="080E0000" w:usb2="00000000" w:usb3="00000000" w:csb0="00040000" w:csb1="00000000"/>
    <w:embedRegular r:id="rId4" w:fontKey="{2A2169AD-D018-48D5-A264-8770D5429917}"/>
  </w:font>
  <w:font w:name="方正黑体_GBK">
    <w:panose1 w:val="03000509000000000000"/>
    <w:charset w:val="86"/>
    <w:family w:val="script"/>
    <w:pitch w:val="default"/>
    <w:sig w:usb0="00000001" w:usb1="080E0000" w:usb2="00000000" w:usb3="00000000" w:csb0="00040000" w:csb1="00000000"/>
    <w:embedRegular r:id="rId5" w:fontKey="{56EDDF8D-B92C-4DB2-8152-54B57CA8289D}"/>
  </w:font>
  <w:font w:name="方正小标宋简体">
    <w:panose1 w:val="02000000000000000000"/>
    <w:charset w:val="86"/>
    <w:family w:val="script"/>
    <w:pitch w:val="default"/>
    <w:sig w:usb0="00000001" w:usb1="08000000" w:usb2="00000000" w:usb3="00000000" w:csb0="00040000" w:csb1="00000000"/>
    <w:embedRegular r:id="rId6" w:fontKey="{113A2F70-5339-419C-BB16-0F15D9ACB04C}"/>
  </w:font>
  <w:font w:name="仿宋">
    <w:panose1 w:val="02010609060101010101"/>
    <w:charset w:val="86"/>
    <w:family w:val="modern"/>
    <w:pitch w:val="default"/>
    <w:sig w:usb0="800002BF" w:usb1="38CF7CFA" w:usb2="00000016" w:usb3="00000000" w:csb0="00040001" w:csb1="00000000"/>
    <w:embedRegular r:id="rId7" w:fontKey="{5B5097A1-63B4-4D0A-BFE0-20EDC1CB5E58}"/>
  </w:font>
  <w:font w:name="方正小标宋_GBK">
    <w:panose1 w:val="03000509000000000000"/>
    <w:charset w:val="86"/>
    <w:family w:val="script"/>
    <w:pitch w:val="default"/>
    <w:sig w:usb0="00000001" w:usb1="080E0000" w:usb2="00000000" w:usb3="00000000" w:csb0="00040000" w:csb1="00000000"/>
    <w:embedRegular r:id="rId8" w:fontKey="{47A340AD-247A-4DFD-B1C0-5576CC1CB46B}"/>
  </w:font>
  <w:font w:name="WVHDDF + FZLTHJW--GB1-0">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419" w:wrap="around" w:vAnchor="text" w:hAnchor="margin" w:xAlign="center" w:y="5"/>
      <w:rPr>
        <w:rStyle w:val="18"/>
      </w:rPr>
    </w:pPr>
    <w:r>
      <w:rPr>
        <w:rStyle w:val="18"/>
      </w:rPr>
      <w:fldChar w:fldCharType="begin"/>
    </w:r>
    <w:r>
      <w:rPr>
        <w:rStyle w:val="18"/>
      </w:rPr>
      <w:instrText xml:space="preserve">PAGE  </w:instrText>
    </w:r>
    <w:r>
      <w:rPr>
        <w:rStyle w:val="18"/>
      </w:rPr>
      <w:fldChar w:fldCharType="separate"/>
    </w:r>
    <w:r>
      <w:rPr>
        <w:rStyle w:val="18"/>
      </w:rPr>
      <w:t>6</w:t>
    </w:r>
    <w:r>
      <w:rPr>
        <w:rStyle w:val="18"/>
      </w:rPr>
      <w:fldChar w:fldCharType="end"/>
    </w:r>
  </w:p>
  <w:p>
    <w:pPr>
      <w:pStyle w:val="9"/>
      <w:jc w:val="center"/>
    </w:pPr>
  </w:p>
  <w:p>
    <w:pPr>
      <w:pStyle w:val="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8"/>
      </w:rPr>
    </w:pPr>
    <w:r>
      <w:rPr>
        <w:rStyle w:val="18"/>
      </w:rPr>
      <w:fldChar w:fldCharType="begin"/>
    </w:r>
    <w:r>
      <w:rPr>
        <w:rStyle w:val="18"/>
      </w:rPr>
      <w:instrText xml:space="preserve">PAGE  </w:instrText>
    </w:r>
    <w:r>
      <w:rPr>
        <w:rStyle w:val="18"/>
      </w:rPr>
      <w:fldChar w:fldCharType="separate"/>
    </w:r>
    <w:r>
      <w:rPr>
        <w:rStyle w:val="18"/>
      </w:rPr>
      <w:t>15</w:t>
    </w:r>
    <w:r>
      <w:rPr>
        <w:rStyle w:val="18"/>
      </w:rPr>
      <w:fldChar w:fldCharType="end"/>
    </w:r>
  </w:p>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8"/>
  <w:drawingGridVerticalSpacing w:val="156"/>
  <w:displayHorizontalDrawingGridEvery w:val="2"/>
  <w:displayVerticalDrawingGridEvery w:val="2"/>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I0YmFkOWJjZjVlYzg5ODMxNDAwZTc3NDZmOTgzNjkifQ=="/>
  </w:docVars>
  <w:rsids>
    <w:rsidRoot w:val="00172A27"/>
    <w:rsid w:val="00000CDE"/>
    <w:rsid w:val="000015E6"/>
    <w:rsid w:val="00003027"/>
    <w:rsid w:val="00003EC8"/>
    <w:rsid w:val="00004D40"/>
    <w:rsid w:val="0001243C"/>
    <w:rsid w:val="000132DF"/>
    <w:rsid w:val="00015E10"/>
    <w:rsid w:val="00016271"/>
    <w:rsid w:val="00022D77"/>
    <w:rsid w:val="00023656"/>
    <w:rsid w:val="00024CAF"/>
    <w:rsid w:val="00026ABE"/>
    <w:rsid w:val="0003243D"/>
    <w:rsid w:val="0003263B"/>
    <w:rsid w:val="00042249"/>
    <w:rsid w:val="00042BA7"/>
    <w:rsid w:val="00043FC9"/>
    <w:rsid w:val="000539F5"/>
    <w:rsid w:val="00053F99"/>
    <w:rsid w:val="000549B5"/>
    <w:rsid w:val="00064907"/>
    <w:rsid w:val="0006774D"/>
    <w:rsid w:val="0007343C"/>
    <w:rsid w:val="00077A2C"/>
    <w:rsid w:val="00080E2C"/>
    <w:rsid w:val="000851F7"/>
    <w:rsid w:val="00092AFE"/>
    <w:rsid w:val="0009416C"/>
    <w:rsid w:val="0009424E"/>
    <w:rsid w:val="000945DD"/>
    <w:rsid w:val="00097C91"/>
    <w:rsid w:val="000A0571"/>
    <w:rsid w:val="000A0CC4"/>
    <w:rsid w:val="000A3A11"/>
    <w:rsid w:val="000A4FF5"/>
    <w:rsid w:val="000A6C48"/>
    <w:rsid w:val="000A7CEF"/>
    <w:rsid w:val="000B6C62"/>
    <w:rsid w:val="000C33C5"/>
    <w:rsid w:val="000C43B1"/>
    <w:rsid w:val="000C4AEA"/>
    <w:rsid w:val="000C54BF"/>
    <w:rsid w:val="000D0442"/>
    <w:rsid w:val="000D5D74"/>
    <w:rsid w:val="000E3355"/>
    <w:rsid w:val="000E3940"/>
    <w:rsid w:val="000F0A0E"/>
    <w:rsid w:val="000F0FF0"/>
    <w:rsid w:val="000F43F1"/>
    <w:rsid w:val="000F51F8"/>
    <w:rsid w:val="0010081D"/>
    <w:rsid w:val="00100E9F"/>
    <w:rsid w:val="00103E7D"/>
    <w:rsid w:val="0010637F"/>
    <w:rsid w:val="00106A3A"/>
    <w:rsid w:val="00111177"/>
    <w:rsid w:val="00112F12"/>
    <w:rsid w:val="001135AE"/>
    <w:rsid w:val="00113E6D"/>
    <w:rsid w:val="0011455B"/>
    <w:rsid w:val="001214A3"/>
    <w:rsid w:val="00122AF5"/>
    <w:rsid w:val="0012558B"/>
    <w:rsid w:val="001320C7"/>
    <w:rsid w:val="00132474"/>
    <w:rsid w:val="001352CD"/>
    <w:rsid w:val="0013638A"/>
    <w:rsid w:val="001458D6"/>
    <w:rsid w:val="00150260"/>
    <w:rsid w:val="001532BF"/>
    <w:rsid w:val="00154884"/>
    <w:rsid w:val="001616F5"/>
    <w:rsid w:val="00163C7A"/>
    <w:rsid w:val="00164837"/>
    <w:rsid w:val="00172240"/>
    <w:rsid w:val="00172A27"/>
    <w:rsid w:val="00174524"/>
    <w:rsid w:val="00174D26"/>
    <w:rsid w:val="00182FC8"/>
    <w:rsid w:val="001861EC"/>
    <w:rsid w:val="00190F18"/>
    <w:rsid w:val="00192081"/>
    <w:rsid w:val="001937D2"/>
    <w:rsid w:val="00193F0F"/>
    <w:rsid w:val="00195C8B"/>
    <w:rsid w:val="001966B8"/>
    <w:rsid w:val="00196CD1"/>
    <w:rsid w:val="001A01C9"/>
    <w:rsid w:val="001A0F11"/>
    <w:rsid w:val="001A1D23"/>
    <w:rsid w:val="001A1E2C"/>
    <w:rsid w:val="001A4994"/>
    <w:rsid w:val="001B14B3"/>
    <w:rsid w:val="001B4E95"/>
    <w:rsid w:val="001B65A7"/>
    <w:rsid w:val="001B65E1"/>
    <w:rsid w:val="001C19AF"/>
    <w:rsid w:val="001C38AD"/>
    <w:rsid w:val="001C6E85"/>
    <w:rsid w:val="001C7FDE"/>
    <w:rsid w:val="001D5285"/>
    <w:rsid w:val="001D58C7"/>
    <w:rsid w:val="001D6599"/>
    <w:rsid w:val="001D6986"/>
    <w:rsid w:val="001E6276"/>
    <w:rsid w:val="001E749C"/>
    <w:rsid w:val="001F1632"/>
    <w:rsid w:val="001F169E"/>
    <w:rsid w:val="001F209B"/>
    <w:rsid w:val="001F3B72"/>
    <w:rsid w:val="001F4466"/>
    <w:rsid w:val="001F52B8"/>
    <w:rsid w:val="001F69BC"/>
    <w:rsid w:val="002050A0"/>
    <w:rsid w:val="00213AA3"/>
    <w:rsid w:val="0021473D"/>
    <w:rsid w:val="0021532B"/>
    <w:rsid w:val="002227A2"/>
    <w:rsid w:val="00226305"/>
    <w:rsid w:val="00236E07"/>
    <w:rsid w:val="002427D7"/>
    <w:rsid w:val="00244624"/>
    <w:rsid w:val="00244FA9"/>
    <w:rsid w:val="00251121"/>
    <w:rsid w:val="00254389"/>
    <w:rsid w:val="00256D9D"/>
    <w:rsid w:val="00257D25"/>
    <w:rsid w:val="00257FE7"/>
    <w:rsid w:val="00261369"/>
    <w:rsid w:val="00262F3A"/>
    <w:rsid w:val="00264169"/>
    <w:rsid w:val="00265ED9"/>
    <w:rsid w:val="002662ED"/>
    <w:rsid w:val="00273445"/>
    <w:rsid w:val="00281E09"/>
    <w:rsid w:val="00284EC2"/>
    <w:rsid w:val="00286447"/>
    <w:rsid w:val="00287499"/>
    <w:rsid w:val="00293B3B"/>
    <w:rsid w:val="002A4B86"/>
    <w:rsid w:val="002A7F02"/>
    <w:rsid w:val="002B183C"/>
    <w:rsid w:val="002B2C87"/>
    <w:rsid w:val="002B6F3E"/>
    <w:rsid w:val="002C1FFF"/>
    <w:rsid w:val="002C44FE"/>
    <w:rsid w:val="002C6C84"/>
    <w:rsid w:val="002D0F0B"/>
    <w:rsid w:val="002D130E"/>
    <w:rsid w:val="002D4090"/>
    <w:rsid w:val="002D45FF"/>
    <w:rsid w:val="002E3078"/>
    <w:rsid w:val="002E38D4"/>
    <w:rsid w:val="002E58DA"/>
    <w:rsid w:val="002F1191"/>
    <w:rsid w:val="002F65B8"/>
    <w:rsid w:val="003008A4"/>
    <w:rsid w:val="00310892"/>
    <w:rsid w:val="00312698"/>
    <w:rsid w:val="00313ACF"/>
    <w:rsid w:val="00314C3B"/>
    <w:rsid w:val="00314FFB"/>
    <w:rsid w:val="00321686"/>
    <w:rsid w:val="00325FD5"/>
    <w:rsid w:val="00326D4D"/>
    <w:rsid w:val="00331939"/>
    <w:rsid w:val="00332AFA"/>
    <w:rsid w:val="003342E4"/>
    <w:rsid w:val="0033551D"/>
    <w:rsid w:val="00335FBC"/>
    <w:rsid w:val="00340FF0"/>
    <w:rsid w:val="00343D65"/>
    <w:rsid w:val="003469F3"/>
    <w:rsid w:val="00353754"/>
    <w:rsid w:val="00361DC0"/>
    <w:rsid w:val="00364324"/>
    <w:rsid w:val="003679DE"/>
    <w:rsid w:val="00370A81"/>
    <w:rsid w:val="0037183D"/>
    <w:rsid w:val="00371CD1"/>
    <w:rsid w:val="00374834"/>
    <w:rsid w:val="00376F18"/>
    <w:rsid w:val="00380623"/>
    <w:rsid w:val="0038171D"/>
    <w:rsid w:val="003834FA"/>
    <w:rsid w:val="0038406F"/>
    <w:rsid w:val="003848F8"/>
    <w:rsid w:val="003875EE"/>
    <w:rsid w:val="00392F9D"/>
    <w:rsid w:val="00397F56"/>
    <w:rsid w:val="003B0B4D"/>
    <w:rsid w:val="003B15AD"/>
    <w:rsid w:val="003B65F7"/>
    <w:rsid w:val="003B7600"/>
    <w:rsid w:val="003C27DA"/>
    <w:rsid w:val="003C5519"/>
    <w:rsid w:val="003C6602"/>
    <w:rsid w:val="003C7A72"/>
    <w:rsid w:val="003D0154"/>
    <w:rsid w:val="003D1DB8"/>
    <w:rsid w:val="003D1EB6"/>
    <w:rsid w:val="003D44C4"/>
    <w:rsid w:val="003D4FF9"/>
    <w:rsid w:val="003D716F"/>
    <w:rsid w:val="003E1745"/>
    <w:rsid w:val="003E38CC"/>
    <w:rsid w:val="003F3B3A"/>
    <w:rsid w:val="003F5397"/>
    <w:rsid w:val="003F5BB1"/>
    <w:rsid w:val="003F6AF6"/>
    <w:rsid w:val="0040125F"/>
    <w:rsid w:val="00401EBE"/>
    <w:rsid w:val="004034B9"/>
    <w:rsid w:val="00403A58"/>
    <w:rsid w:val="00403BAE"/>
    <w:rsid w:val="004071E4"/>
    <w:rsid w:val="00407297"/>
    <w:rsid w:val="00407ADD"/>
    <w:rsid w:val="00413795"/>
    <w:rsid w:val="00414362"/>
    <w:rsid w:val="004173F3"/>
    <w:rsid w:val="004225E3"/>
    <w:rsid w:val="00423776"/>
    <w:rsid w:val="0043160C"/>
    <w:rsid w:val="00433C2A"/>
    <w:rsid w:val="004415AD"/>
    <w:rsid w:val="004441ED"/>
    <w:rsid w:val="004447F4"/>
    <w:rsid w:val="00450507"/>
    <w:rsid w:val="004516F3"/>
    <w:rsid w:val="00465C21"/>
    <w:rsid w:val="00470017"/>
    <w:rsid w:val="0047205C"/>
    <w:rsid w:val="00473B67"/>
    <w:rsid w:val="00474A4E"/>
    <w:rsid w:val="00477800"/>
    <w:rsid w:val="00477D00"/>
    <w:rsid w:val="00481BD7"/>
    <w:rsid w:val="00483A41"/>
    <w:rsid w:val="004849F5"/>
    <w:rsid w:val="00484B2F"/>
    <w:rsid w:val="00485ECF"/>
    <w:rsid w:val="00491A7E"/>
    <w:rsid w:val="004934C7"/>
    <w:rsid w:val="004A1E3F"/>
    <w:rsid w:val="004A3200"/>
    <w:rsid w:val="004A5305"/>
    <w:rsid w:val="004A6E86"/>
    <w:rsid w:val="004A704F"/>
    <w:rsid w:val="004B0F13"/>
    <w:rsid w:val="004C3589"/>
    <w:rsid w:val="004C7B91"/>
    <w:rsid w:val="004D31A2"/>
    <w:rsid w:val="004E0087"/>
    <w:rsid w:val="004E0285"/>
    <w:rsid w:val="004E074F"/>
    <w:rsid w:val="004E26AD"/>
    <w:rsid w:val="004E3180"/>
    <w:rsid w:val="004E329D"/>
    <w:rsid w:val="004E5360"/>
    <w:rsid w:val="004F580A"/>
    <w:rsid w:val="004F5D4C"/>
    <w:rsid w:val="004F7C71"/>
    <w:rsid w:val="00500FD9"/>
    <w:rsid w:val="00512435"/>
    <w:rsid w:val="00513831"/>
    <w:rsid w:val="00514406"/>
    <w:rsid w:val="005168B6"/>
    <w:rsid w:val="00520379"/>
    <w:rsid w:val="00520C1A"/>
    <w:rsid w:val="00522AA1"/>
    <w:rsid w:val="005315C4"/>
    <w:rsid w:val="005330A2"/>
    <w:rsid w:val="005341DA"/>
    <w:rsid w:val="0053476C"/>
    <w:rsid w:val="00535F24"/>
    <w:rsid w:val="00536E80"/>
    <w:rsid w:val="00537283"/>
    <w:rsid w:val="00540673"/>
    <w:rsid w:val="0054068D"/>
    <w:rsid w:val="005568B8"/>
    <w:rsid w:val="00562A77"/>
    <w:rsid w:val="00563747"/>
    <w:rsid w:val="00566870"/>
    <w:rsid w:val="00572A42"/>
    <w:rsid w:val="00582515"/>
    <w:rsid w:val="00587058"/>
    <w:rsid w:val="00587A21"/>
    <w:rsid w:val="005904D5"/>
    <w:rsid w:val="00591204"/>
    <w:rsid w:val="00591514"/>
    <w:rsid w:val="00592A09"/>
    <w:rsid w:val="005933D3"/>
    <w:rsid w:val="005A534B"/>
    <w:rsid w:val="005A649B"/>
    <w:rsid w:val="005B0AE1"/>
    <w:rsid w:val="005B12C8"/>
    <w:rsid w:val="005B30D9"/>
    <w:rsid w:val="005B32F9"/>
    <w:rsid w:val="005B5B42"/>
    <w:rsid w:val="005B63C3"/>
    <w:rsid w:val="005C3FA5"/>
    <w:rsid w:val="005C4FF0"/>
    <w:rsid w:val="005C79F5"/>
    <w:rsid w:val="005D5F7A"/>
    <w:rsid w:val="005D66D6"/>
    <w:rsid w:val="00601B13"/>
    <w:rsid w:val="00606E05"/>
    <w:rsid w:val="00616F3F"/>
    <w:rsid w:val="006201DB"/>
    <w:rsid w:val="00621F8A"/>
    <w:rsid w:val="00635ECD"/>
    <w:rsid w:val="00636CED"/>
    <w:rsid w:val="00636FA8"/>
    <w:rsid w:val="00637736"/>
    <w:rsid w:val="00640818"/>
    <w:rsid w:val="00640CEB"/>
    <w:rsid w:val="00641043"/>
    <w:rsid w:val="00643E8D"/>
    <w:rsid w:val="00644BE0"/>
    <w:rsid w:val="00647C03"/>
    <w:rsid w:val="00652A33"/>
    <w:rsid w:val="00655963"/>
    <w:rsid w:val="00664578"/>
    <w:rsid w:val="00672D6A"/>
    <w:rsid w:val="00675AD5"/>
    <w:rsid w:val="0067639F"/>
    <w:rsid w:val="00677A03"/>
    <w:rsid w:val="00680C3C"/>
    <w:rsid w:val="00687A23"/>
    <w:rsid w:val="00690298"/>
    <w:rsid w:val="00690AF9"/>
    <w:rsid w:val="00690B2E"/>
    <w:rsid w:val="00693458"/>
    <w:rsid w:val="0069359D"/>
    <w:rsid w:val="00693CAD"/>
    <w:rsid w:val="00695103"/>
    <w:rsid w:val="006967C1"/>
    <w:rsid w:val="006968BA"/>
    <w:rsid w:val="006A09F4"/>
    <w:rsid w:val="006A34E2"/>
    <w:rsid w:val="006A4DFD"/>
    <w:rsid w:val="006A4F53"/>
    <w:rsid w:val="006A50DA"/>
    <w:rsid w:val="006A5764"/>
    <w:rsid w:val="006A5872"/>
    <w:rsid w:val="006A5C1C"/>
    <w:rsid w:val="006B0633"/>
    <w:rsid w:val="006B391E"/>
    <w:rsid w:val="006B439F"/>
    <w:rsid w:val="006C0983"/>
    <w:rsid w:val="006C10FC"/>
    <w:rsid w:val="006C77A4"/>
    <w:rsid w:val="006E034D"/>
    <w:rsid w:val="006E04EA"/>
    <w:rsid w:val="006E4CC0"/>
    <w:rsid w:val="006F62ED"/>
    <w:rsid w:val="006F754C"/>
    <w:rsid w:val="00700450"/>
    <w:rsid w:val="00701284"/>
    <w:rsid w:val="0070723B"/>
    <w:rsid w:val="00713358"/>
    <w:rsid w:val="00714E82"/>
    <w:rsid w:val="0072021B"/>
    <w:rsid w:val="0072141F"/>
    <w:rsid w:val="00722334"/>
    <w:rsid w:val="007226A2"/>
    <w:rsid w:val="00730769"/>
    <w:rsid w:val="00730869"/>
    <w:rsid w:val="0073177F"/>
    <w:rsid w:val="00731D53"/>
    <w:rsid w:val="00736376"/>
    <w:rsid w:val="0073665F"/>
    <w:rsid w:val="0074443E"/>
    <w:rsid w:val="007444A3"/>
    <w:rsid w:val="00751C81"/>
    <w:rsid w:val="00752820"/>
    <w:rsid w:val="007529BE"/>
    <w:rsid w:val="0075621C"/>
    <w:rsid w:val="00756CC3"/>
    <w:rsid w:val="007611B0"/>
    <w:rsid w:val="00762220"/>
    <w:rsid w:val="00762E87"/>
    <w:rsid w:val="0076495F"/>
    <w:rsid w:val="00765DF1"/>
    <w:rsid w:val="00770582"/>
    <w:rsid w:val="00772164"/>
    <w:rsid w:val="00772A33"/>
    <w:rsid w:val="007738B6"/>
    <w:rsid w:val="00776E22"/>
    <w:rsid w:val="007805D9"/>
    <w:rsid w:val="007825FD"/>
    <w:rsid w:val="0078632B"/>
    <w:rsid w:val="00786592"/>
    <w:rsid w:val="0079799F"/>
    <w:rsid w:val="007A23D8"/>
    <w:rsid w:val="007A704D"/>
    <w:rsid w:val="007A707A"/>
    <w:rsid w:val="007A7226"/>
    <w:rsid w:val="007B0A63"/>
    <w:rsid w:val="007B0C7B"/>
    <w:rsid w:val="007B3E23"/>
    <w:rsid w:val="007B5273"/>
    <w:rsid w:val="007B6CD8"/>
    <w:rsid w:val="007B7307"/>
    <w:rsid w:val="007C065C"/>
    <w:rsid w:val="007C08E2"/>
    <w:rsid w:val="007C1B1D"/>
    <w:rsid w:val="007C4DB2"/>
    <w:rsid w:val="007C7D3D"/>
    <w:rsid w:val="007C7FD9"/>
    <w:rsid w:val="007D2F69"/>
    <w:rsid w:val="007D3021"/>
    <w:rsid w:val="007E05DD"/>
    <w:rsid w:val="007E1395"/>
    <w:rsid w:val="007E4C47"/>
    <w:rsid w:val="007E5B33"/>
    <w:rsid w:val="007F2157"/>
    <w:rsid w:val="007F3FFB"/>
    <w:rsid w:val="007F4444"/>
    <w:rsid w:val="007F6CAB"/>
    <w:rsid w:val="007F7134"/>
    <w:rsid w:val="00801412"/>
    <w:rsid w:val="00801D90"/>
    <w:rsid w:val="008137AF"/>
    <w:rsid w:val="00821FAA"/>
    <w:rsid w:val="00822C35"/>
    <w:rsid w:val="00826BD5"/>
    <w:rsid w:val="00831989"/>
    <w:rsid w:val="008319B5"/>
    <w:rsid w:val="00836684"/>
    <w:rsid w:val="0084454F"/>
    <w:rsid w:val="00844CF2"/>
    <w:rsid w:val="008453A8"/>
    <w:rsid w:val="00847444"/>
    <w:rsid w:val="00847678"/>
    <w:rsid w:val="00847DF2"/>
    <w:rsid w:val="008530B0"/>
    <w:rsid w:val="0085444F"/>
    <w:rsid w:val="0085672A"/>
    <w:rsid w:val="008615E6"/>
    <w:rsid w:val="00862EEC"/>
    <w:rsid w:val="00865166"/>
    <w:rsid w:val="00865802"/>
    <w:rsid w:val="00870990"/>
    <w:rsid w:val="00872520"/>
    <w:rsid w:val="00875AE1"/>
    <w:rsid w:val="00876CF1"/>
    <w:rsid w:val="00882FC5"/>
    <w:rsid w:val="008848E5"/>
    <w:rsid w:val="00886C3A"/>
    <w:rsid w:val="008879FD"/>
    <w:rsid w:val="00890126"/>
    <w:rsid w:val="008905FB"/>
    <w:rsid w:val="00894E4C"/>
    <w:rsid w:val="008A0FB0"/>
    <w:rsid w:val="008A38C9"/>
    <w:rsid w:val="008B12F2"/>
    <w:rsid w:val="008B2F52"/>
    <w:rsid w:val="008B3742"/>
    <w:rsid w:val="008C3256"/>
    <w:rsid w:val="008C490F"/>
    <w:rsid w:val="008C63B2"/>
    <w:rsid w:val="008D06DA"/>
    <w:rsid w:val="008D18DE"/>
    <w:rsid w:val="008D4149"/>
    <w:rsid w:val="008D4D30"/>
    <w:rsid w:val="008E32C3"/>
    <w:rsid w:val="008F0698"/>
    <w:rsid w:val="008F15A6"/>
    <w:rsid w:val="008F1891"/>
    <w:rsid w:val="008F18E2"/>
    <w:rsid w:val="008F481D"/>
    <w:rsid w:val="008F4984"/>
    <w:rsid w:val="0090237A"/>
    <w:rsid w:val="00906B29"/>
    <w:rsid w:val="00911BD3"/>
    <w:rsid w:val="00912DAD"/>
    <w:rsid w:val="00913DD5"/>
    <w:rsid w:val="009158D3"/>
    <w:rsid w:val="00916648"/>
    <w:rsid w:val="00921D48"/>
    <w:rsid w:val="009300BE"/>
    <w:rsid w:val="00931E43"/>
    <w:rsid w:val="00935684"/>
    <w:rsid w:val="00944758"/>
    <w:rsid w:val="0094583B"/>
    <w:rsid w:val="00952BF5"/>
    <w:rsid w:val="00952E3F"/>
    <w:rsid w:val="0095450A"/>
    <w:rsid w:val="00954A99"/>
    <w:rsid w:val="009666D3"/>
    <w:rsid w:val="00967726"/>
    <w:rsid w:val="0097233B"/>
    <w:rsid w:val="0097300A"/>
    <w:rsid w:val="009751F9"/>
    <w:rsid w:val="009764FC"/>
    <w:rsid w:val="009818A8"/>
    <w:rsid w:val="0098222C"/>
    <w:rsid w:val="00985466"/>
    <w:rsid w:val="00987446"/>
    <w:rsid w:val="009A1128"/>
    <w:rsid w:val="009A3654"/>
    <w:rsid w:val="009A3F4B"/>
    <w:rsid w:val="009A5F22"/>
    <w:rsid w:val="009A6C92"/>
    <w:rsid w:val="009B0C72"/>
    <w:rsid w:val="009B15D6"/>
    <w:rsid w:val="009B4599"/>
    <w:rsid w:val="009B4A7C"/>
    <w:rsid w:val="009B4CDF"/>
    <w:rsid w:val="009B712C"/>
    <w:rsid w:val="009C390A"/>
    <w:rsid w:val="009C395F"/>
    <w:rsid w:val="009D1B81"/>
    <w:rsid w:val="009D6156"/>
    <w:rsid w:val="009D780D"/>
    <w:rsid w:val="009E4001"/>
    <w:rsid w:val="009E7F5D"/>
    <w:rsid w:val="009F3619"/>
    <w:rsid w:val="009F4473"/>
    <w:rsid w:val="00A0126E"/>
    <w:rsid w:val="00A01B11"/>
    <w:rsid w:val="00A0755E"/>
    <w:rsid w:val="00A11EA2"/>
    <w:rsid w:val="00A1360E"/>
    <w:rsid w:val="00A16448"/>
    <w:rsid w:val="00A16955"/>
    <w:rsid w:val="00A20A6F"/>
    <w:rsid w:val="00A2645A"/>
    <w:rsid w:val="00A30261"/>
    <w:rsid w:val="00A30476"/>
    <w:rsid w:val="00A35ECE"/>
    <w:rsid w:val="00A41DF3"/>
    <w:rsid w:val="00A444EF"/>
    <w:rsid w:val="00A462BF"/>
    <w:rsid w:val="00A52B20"/>
    <w:rsid w:val="00A559FC"/>
    <w:rsid w:val="00A56921"/>
    <w:rsid w:val="00A56E8F"/>
    <w:rsid w:val="00A60A30"/>
    <w:rsid w:val="00A60E06"/>
    <w:rsid w:val="00A66907"/>
    <w:rsid w:val="00A70AFA"/>
    <w:rsid w:val="00A714F4"/>
    <w:rsid w:val="00A815C2"/>
    <w:rsid w:val="00A82808"/>
    <w:rsid w:val="00A92E5F"/>
    <w:rsid w:val="00AA06D4"/>
    <w:rsid w:val="00AA3906"/>
    <w:rsid w:val="00AB0674"/>
    <w:rsid w:val="00AB0C20"/>
    <w:rsid w:val="00AB4E30"/>
    <w:rsid w:val="00AB6A68"/>
    <w:rsid w:val="00AC0071"/>
    <w:rsid w:val="00AC31C2"/>
    <w:rsid w:val="00AC3F4C"/>
    <w:rsid w:val="00AD11A7"/>
    <w:rsid w:val="00AD21FD"/>
    <w:rsid w:val="00AD454A"/>
    <w:rsid w:val="00AD4655"/>
    <w:rsid w:val="00AE0925"/>
    <w:rsid w:val="00AE38D4"/>
    <w:rsid w:val="00AE5446"/>
    <w:rsid w:val="00AE78DC"/>
    <w:rsid w:val="00AF0C4E"/>
    <w:rsid w:val="00AF1266"/>
    <w:rsid w:val="00AF2B0A"/>
    <w:rsid w:val="00B027EE"/>
    <w:rsid w:val="00B03575"/>
    <w:rsid w:val="00B053F2"/>
    <w:rsid w:val="00B0633B"/>
    <w:rsid w:val="00B0655A"/>
    <w:rsid w:val="00B06A40"/>
    <w:rsid w:val="00B10172"/>
    <w:rsid w:val="00B115B7"/>
    <w:rsid w:val="00B11ECE"/>
    <w:rsid w:val="00B13ED6"/>
    <w:rsid w:val="00B14D22"/>
    <w:rsid w:val="00B220C7"/>
    <w:rsid w:val="00B2419B"/>
    <w:rsid w:val="00B2486C"/>
    <w:rsid w:val="00B26DC8"/>
    <w:rsid w:val="00B30C4E"/>
    <w:rsid w:val="00B42715"/>
    <w:rsid w:val="00B4408E"/>
    <w:rsid w:val="00B450EF"/>
    <w:rsid w:val="00B45311"/>
    <w:rsid w:val="00B46788"/>
    <w:rsid w:val="00B5114E"/>
    <w:rsid w:val="00B66E7E"/>
    <w:rsid w:val="00B67B06"/>
    <w:rsid w:val="00B72079"/>
    <w:rsid w:val="00B83CBB"/>
    <w:rsid w:val="00B84C80"/>
    <w:rsid w:val="00B86341"/>
    <w:rsid w:val="00B876C6"/>
    <w:rsid w:val="00B87BF3"/>
    <w:rsid w:val="00B907FE"/>
    <w:rsid w:val="00B90AAC"/>
    <w:rsid w:val="00B95E8F"/>
    <w:rsid w:val="00B969B6"/>
    <w:rsid w:val="00B97C8E"/>
    <w:rsid w:val="00BA189F"/>
    <w:rsid w:val="00BA23BD"/>
    <w:rsid w:val="00BA46E1"/>
    <w:rsid w:val="00BA7763"/>
    <w:rsid w:val="00BA7CBA"/>
    <w:rsid w:val="00BB2D79"/>
    <w:rsid w:val="00BB46D2"/>
    <w:rsid w:val="00BC048D"/>
    <w:rsid w:val="00BC2479"/>
    <w:rsid w:val="00BC60E8"/>
    <w:rsid w:val="00BC7CC9"/>
    <w:rsid w:val="00BD3158"/>
    <w:rsid w:val="00BE34BC"/>
    <w:rsid w:val="00BE3EAD"/>
    <w:rsid w:val="00BE5F20"/>
    <w:rsid w:val="00BE7469"/>
    <w:rsid w:val="00BF586F"/>
    <w:rsid w:val="00BF62EC"/>
    <w:rsid w:val="00BF7779"/>
    <w:rsid w:val="00C007C0"/>
    <w:rsid w:val="00C0091A"/>
    <w:rsid w:val="00C023C7"/>
    <w:rsid w:val="00C1014C"/>
    <w:rsid w:val="00C108EA"/>
    <w:rsid w:val="00C15328"/>
    <w:rsid w:val="00C213BD"/>
    <w:rsid w:val="00C21AB3"/>
    <w:rsid w:val="00C26E71"/>
    <w:rsid w:val="00C27509"/>
    <w:rsid w:val="00C33D56"/>
    <w:rsid w:val="00C36F6D"/>
    <w:rsid w:val="00C37F80"/>
    <w:rsid w:val="00C40AB8"/>
    <w:rsid w:val="00C4486A"/>
    <w:rsid w:val="00C44A9B"/>
    <w:rsid w:val="00C45064"/>
    <w:rsid w:val="00C45597"/>
    <w:rsid w:val="00C5722E"/>
    <w:rsid w:val="00C657C0"/>
    <w:rsid w:val="00C67E30"/>
    <w:rsid w:val="00C71898"/>
    <w:rsid w:val="00C72C22"/>
    <w:rsid w:val="00C73CC7"/>
    <w:rsid w:val="00C8120D"/>
    <w:rsid w:val="00C8125C"/>
    <w:rsid w:val="00C8366A"/>
    <w:rsid w:val="00C84B94"/>
    <w:rsid w:val="00C8546C"/>
    <w:rsid w:val="00C87E36"/>
    <w:rsid w:val="00C90A09"/>
    <w:rsid w:val="00C918FF"/>
    <w:rsid w:val="00C91D4E"/>
    <w:rsid w:val="00C92D64"/>
    <w:rsid w:val="00C973F7"/>
    <w:rsid w:val="00C976AB"/>
    <w:rsid w:val="00CA0431"/>
    <w:rsid w:val="00CA38D8"/>
    <w:rsid w:val="00CA63A5"/>
    <w:rsid w:val="00CB4EC2"/>
    <w:rsid w:val="00CB5E9A"/>
    <w:rsid w:val="00CB72C7"/>
    <w:rsid w:val="00CC12B0"/>
    <w:rsid w:val="00CC47C6"/>
    <w:rsid w:val="00CC4B3A"/>
    <w:rsid w:val="00CC546D"/>
    <w:rsid w:val="00CC5B62"/>
    <w:rsid w:val="00CC6C5A"/>
    <w:rsid w:val="00CD7D0B"/>
    <w:rsid w:val="00CE04FB"/>
    <w:rsid w:val="00CE14CD"/>
    <w:rsid w:val="00CE328C"/>
    <w:rsid w:val="00CE6B6C"/>
    <w:rsid w:val="00CF2CC8"/>
    <w:rsid w:val="00CF30E5"/>
    <w:rsid w:val="00D00060"/>
    <w:rsid w:val="00D01816"/>
    <w:rsid w:val="00D10EC6"/>
    <w:rsid w:val="00D13064"/>
    <w:rsid w:val="00D20F98"/>
    <w:rsid w:val="00D23A63"/>
    <w:rsid w:val="00D26A4D"/>
    <w:rsid w:val="00D30B39"/>
    <w:rsid w:val="00D31B57"/>
    <w:rsid w:val="00D364A7"/>
    <w:rsid w:val="00D42A3C"/>
    <w:rsid w:val="00D43983"/>
    <w:rsid w:val="00D47F3C"/>
    <w:rsid w:val="00D545CA"/>
    <w:rsid w:val="00D55E9B"/>
    <w:rsid w:val="00D7102F"/>
    <w:rsid w:val="00D7769E"/>
    <w:rsid w:val="00D831B3"/>
    <w:rsid w:val="00D87484"/>
    <w:rsid w:val="00D90353"/>
    <w:rsid w:val="00D91392"/>
    <w:rsid w:val="00D927D4"/>
    <w:rsid w:val="00D92D79"/>
    <w:rsid w:val="00DA02AB"/>
    <w:rsid w:val="00DA5DCE"/>
    <w:rsid w:val="00DB1D40"/>
    <w:rsid w:val="00DB36F7"/>
    <w:rsid w:val="00DC1BBB"/>
    <w:rsid w:val="00DC3074"/>
    <w:rsid w:val="00DC4F93"/>
    <w:rsid w:val="00DD19E5"/>
    <w:rsid w:val="00DD3113"/>
    <w:rsid w:val="00DD3455"/>
    <w:rsid w:val="00DD5DFC"/>
    <w:rsid w:val="00DD5F8B"/>
    <w:rsid w:val="00DE6E62"/>
    <w:rsid w:val="00DF0968"/>
    <w:rsid w:val="00DF7674"/>
    <w:rsid w:val="00E04783"/>
    <w:rsid w:val="00E1442F"/>
    <w:rsid w:val="00E226F9"/>
    <w:rsid w:val="00E2556B"/>
    <w:rsid w:val="00E31EBF"/>
    <w:rsid w:val="00E32DBA"/>
    <w:rsid w:val="00E339AE"/>
    <w:rsid w:val="00E34BB1"/>
    <w:rsid w:val="00E411FE"/>
    <w:rsid w:val="00E4421E"/>
    <w:rsid w:val="00E44876"/>
    <w:rsid w:val="00E44A04"/>
    <w:rsid w:val="00E47233"/>
    <w:rsid w:val="00E51415"/>
    <w:rsid w:val="00E542CF"/>
    <w:rsid w:val="00E55C6B"/>
    <w:rsid w:val="00E55CAC"/>
    <w:rsid w:val="00E6044F"/>
    <w:rsid w:val="00E604B8"/>
    <w:rsid w:val="00E604E1"/>
    <w:rsid w:val="00E60BDC"/>
    <w:rsid w:val="00E62417"/>
    <w:rsid w:val="00E7713E"/>
    <w:rsid w:val="00E77546"/>
    <w:rsid w:val="00E77A56"/>
    <w:rsid w:val="00E77DC3"/>
    <w:rsid w:val="00E82CB7"/>
    <w:rsid w:val="00E83D57"/>
    <w:rsid w:val="00E8771C"/>
    <w:rsid w:val="00E9368F"/>
    <w:rsid w:val="00E954CF"/>
    <w:rsid w:val="00E95BC1"/>
    <w:rsid w:val="00E978C3"/>
    <w:rsid w:val="00E97ED0"/>
    <w:rsid w:val="00EA326F"/>
    <w:rsid w:val="00EA46BC"/>
    <w:rsid w:val="00EA5E33"/>
    <w:rsid w:val="00EA6F40"/>
    <w:rsid w:val="00EB77C4"/>
    <w:rsid w:val="00EC0913"/>
    <w:rsid w:val="00EC26AE"/>
    <w:rsid w:val="00EC54F9"/>
    <w:rsid w:val="00ED124B"/>
    <w:rsid w:val="00EE1955"/>
    <w:rsid w:val="00EE254E"/>
    <w:rsid w:val="00EE4297"/>
    <w:rsid w:val="00EE60B9"/>
    <w:rsid w:val="00EF695A"/>
    <w:rsid w:val="00F0025E"/>
    <w:rsid w:val="00F00BB6"/>
    <w:rsid w:val="00F047E4"/>
    <w:rsid w:val="00F06B75"/>
    <w:rsid w:val="00F135B6"/>
    <w:rsid w:val="00F15EE6"/>
    <w:rsid w:val="00F22FC8"/>
    <w:rsid w:val="00F23532"/>
    <w:rsid w:val="00F25681"/>
    <w:rsid w:val="00F2722A"/>
    <w:rsid w:val="00F27616"/>
    <w:rsid w:val="00F3190D"/>
    <w:rsid w:val="00F40121"/>
    <w:rsid w:val="00F40D7C"/>
    <w:rsid w:val="00F427E1"/>
    <w:rsid w:val="00F453AA"/>
    <w:rsid w:val="00F52CFC"/>
    <w:rsid w:val="00F54103"/>
    <w:rsid w:val="00F54CAE"/>
    <w:rsid w:val="00F61343"/>
    <w:rsid w:val="00F62731"/>
    <w:rsid w:val="00F651E6"/>
    <w:rsid w:val="00F653EF"/>
    <w:rsid w:val="00F73150"/>
    <w:rsid w:val="00F77314"/>
    <w:rsid w:val="00F8625C"/>
    <w:rsid w:val="00F8690E"/>
    <w:rsid w:val="00F90A33"/>
    <w:rsid w:val="00F95E01"/>
    <w:rsid w:val="00FA143E"/>
    <w:rsid w:val="00FA3008"/>
    <w:rsid w:val="00FA5648"/>
    <w:rsid w:val="00FA7B0E"/>
    <w:rsid w:val="00FB375A"/>
    <w:rsid w:val="00FB5B2B"/>
    <w:rsid w:val="00FC0647"/>
    <w:rsid w:val="00FC350E"/>
    <w:rsid w:val="00FD5227"/>
    <w:rsid w:val="00FE0B68"/>
    <w:rsid w:val="00FE1C42"/>
    <w:rsid w:val="00FE37DC"/>
    <w:rsid w:val="00FE4D35"/>
    <w:rsid w:val="00FF30A2"/>
    <w:rsid w:val="00FF4154"/>
    <w:rsid w:val="00FF6FFB"/>
    <w:rsid w:val="02267FE3"/>
    <w:rsid w:val="03447CBC"/>
    <w:rsid w:val="03A86306"/>
    <w:rsid w:val="03FD7B06"/>
    <w:rsid w:val="0622327F"/>
    <w:rsid w:val="062C14D6"/>
    <w:rsid w:val="09D65B51"/>
    <w:rsid w:val="0AA417AC"/>
    <w:rsid w:val="0ED54156"/>
    <w:rsid w:val="0FE7172D"/>
    <w:rsid w:val="11427B0D"/>
    <w:rsid w:val="131D65C8"/>
    <w:rsid w:val="13EF7E8A"/>
    <w:rsid w:val="152B0FD9"/>
    <w:rsid w:val="1648671D"/>
    <w:rsid w:val="17A67D53"/>
    <w:rsid w:val="17DA4A44"/>
    <w:rsid w:val="192B3098"/>
    <w:rsid w:val="202C4135"/>
    <w:rsid w:val="237956B3"/>
    <w:rsid w:val="25A40114"/>
    <w:rsid w:val="26843A25"/>
    <w:rsid w:val="2E7F5F30"/>
    <w:rsid w:val="2E9A3002"/>
    <w:rsid w:val="2FA458FA"/>
    <w:rsid w:val="2FA536CD"/>
    <w:rsid w:val="306B6E7B"/>
    <w:rsid w:val="34243710"/>
    <w:rsid w:val="35EF5040"/>
    <w:rsid w:val="35F73A55"/>
    <w:rsid w:val="37781747"/>
    <w:rsid w:val="3857403C"/>
    <w:rsid w:val="3975190B"/>
    <w:rsid w:val="39C767EE"/>
    <w:rsid w:val="3A6E1128"/>
    <w:rsid w:val="3A7A603D"/>
    <w:rsid w:val="3AD5292E"/>
    <w:rsid w:val="3C8B5A78"/>
    <w:rsid w:val="3DFE1B40"/>
    <w:rsid w:val="3F4C7091"/>
    <w:rsid w:val="3FB13A4B"/>
    <w:rsid w:val="40436D6F"/>
    <w:rsid w:val="413B04ED"/>
    <w:rsid w:val="439D5AE3"/>
    <w:rsid w:val="447A3A43"/>
    <w:rsid w:val="45A46320"/>
    <w:rsid w:val="47631532"/>
    <w:rsid w:val="480E7921"/>
    <w:rsid w:val="48B325DE"/>
    <w:rsid w:val="49106FAA"/>
    <w:rsid w:val="4A0A22DF"/>
    <w:rsid w:val="4AB615DF"/>
    <w:rsid w:val="4CFE0BF5"/>
    <w:rsid w:val="4DA72929"/>
    <w:rsid w:val="4FAD5FDA"/>
    <w:rsid w:val="51364001"/>
    <w:rsid w:val="52EF3E56"/>
    <w:rsid w:val="55DA5679"/>
    <w:rsid w:val="572F0F20"/>
    <w:rsid w:val="58FF00A5"/>
    <w:rsid w:val="5A6F63B2"/>
    <w:rsid w:val="5BC74ADF"/>
    <w:rsid w:val="5DF52F76"/>
    <w:rsid w:val="61147FDF"/>
    <w:rsid w:val="612255A6"/>
    <w:rsid w:val="6190755D"/>
    <w:rsid w:val="61F833BF"/>
    <w:rsid w:val="64FF59A0"/>
    <w:rsid w:val="65B15513"/>
    <w:rsid w:val="667E32EA"/>
    <w:rsid w:val="66DE26C9"/>
    <w:rsid w:val="67D1137D"/>
    <w:rsid w:val="68D64C8B"/>
    <w:rsid w:val="6C6D6E51"/>
    <w:rsid w:val="6D696248"/>
    <w:rsid w:val="6E9C4E7A"/>
    <w:rsid w:val="6FE314F5"/>
    <w:rsid w:val="711D041B"/>
    <w:rsid w:val="72331F17"/>
    <w:rsid w:val="7294445A"/>
    <w:rsid w:val="72965127"/>
    <w:rsid w:val="79BE74E7"/>
    <w:rsid w:val="7A834F33"/>
    <w:rsid w:val="7BF75E72"/>
    <w:rsid w:val="7D853842"/>
    <w:rsid w:val="7EA8207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qFormat="1"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iPriority="1" w:name="Default Paragraph Font"/>
    <w:lsdException w:qFormat="1" w:uiPriority="99" w:semiHidden="0"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iPriority="99" w:semiHidden="0"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qFormat="1" w:unhideWhenUsed="0" w:uiPriority="99" w:semiHidden="0" w:name="Plain Text"/>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3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2"/>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8"/>
    <w:qFormat/>
    <w:uiPriority w:val="99"/>
    <w:pPr>
      <w:adjustRightInd w:val="0"/>
      <w:snapToGrid w:val="0"/>
      <w:spacing w:line="310" w:lineRule="atLeast"/>
      <w:ind w:firstLine="425"/>
      <w:jc w:val="left"/>
    </w:pPr>
    <w:rPr>
      <w:rFonts w:ascii="Times New Roman" w:hAnsi="Times New Roman"/>
      <w:szCs w:val="21"/>
    </w:rPr>
  </w:style>
  <w:style w:type="paragraph" w:styleId="5">
    <w:name w:val="Body Text"/>
    <w:basedOn w:val="1"/>
    <w:link w:val="33"/>
    <w:unhideWhenUsed/>
    <w:qFormat/>
    <w:locked/>
    <w:uiPriority w:val="99"/>
    <w:pPr>
      <w:spacing w:after="120"/>
    </w:pPr>
  </w:style>
  <w:style w:type="paragraph" w:styleId="6">
    <w:name w:val="Plain Text"/>
    <w:basedOn w:val="1"/>
    <w:link w:val="30"/>
    <w:qFormat/>
    <w:uiPriority w:val="99"/>
    <w:pPr>
      <w:widowControl/>
      <w:spacing w:before="100" w:beforeAutospacing="1" w:after="100" w:afterAutospacing="1"/>
      <w:jc w:val="left"/>
    </w:pPr>
    <w:rPr>
      <w:rFonts w:ascii="宋体" w:hAnsi="宋体" w:cs="宋体"/>
      <w:kern w:val="0"/>
      <w:sz w:val="24"/>
      <w:szCs w:val="24"/>
    </w:rPr>
  </w:style>
  <w:style w:type="paragraph" w:styleId="7">
    <w:name w:val="Date"/>
    <w:basedOn w:val="1"/>
    <w:next w:val="1"/>
    <w:link w:val="38"/>
    <w:semiHidden/>
    <w:unhideWhenUsed/>
    <w:qFormat/>
    <w:locked/>
    <w:uiPriority w:val="99"/>
    <w:pPr>
      <w:ind w:left="100" w:leftChars="2500"/>
    </w:pPr>
  </w:style>
  <w:style w:type="paragraph" w:styleId="8">
    <w:name w:val="Balloon Text"/>
    <w:basedOn w:val="1"/>
    <w:link w:val="32"/>
    <w:semiHidden/>
    <w:unhideWhenUsed/>
    <w:qFormat/>
    <w:locked/>
    <w:uiPriority w:val="99"/>
    <w:rPr>
      <w:sz w:val="18"/>
      <w:szCs w:val="18"/>
    </w:rPr>
  </w:style>
  <w:style w:type="paragraph" w:styleId="9">
    <w:name w:val="footer"/>
    <w:basedOn w:val="1"/>
    <w:link w:val="23"/>
    <w:qFormat/>
    <w:uiPriority w:val="99"/>
    <w:pPr>
      <w:tabs>
        <w:tab w:val="center" w:pos="4153"/>
        <w:tab w:val="right" w:pos="8306"/>
      </w:tabs>
      <w:snapToGrid w:val="0"/>
      <w:jc w:val="left"/>
    </w:pPr>
    <w:rPr>
      <w:sz w:val="18"/>
      <w:szCs w:val="18"/>
    </w:rPr>
  </w:style>
  <w:style w:type="paragraph" w:styleId="10">
    <w:name w:val="header"/>
    <w:basedOn w:val="1"/>
    <w:link w:val="24"/>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style>
  <w:style w:type="paragraph" w:styleId="12">
    <w:name w:val="toc 2"/>
    <w:basedOn w:val="1"/>
    <w:next w:val="1"/>
    <w:qFormat/>
    <w:uiPriority w:val="39"/>
    <w:pPr>
      <w:ind w:left="420" w:leftChars="200"/>
    </w:pPr>
  </w:style>
  <w:style w:type="paragraph" w:styleId="13">
    <w:name w:val="Title"/>
    <w:basedOn w:val="1"/>
    <w:next w:val="1"/>
    <w:link w:val="25"/>
    <w:qFormat/>
    <w:uiPriority w:val="99"/>
    <w:pPr>
      <w:spacing w:before="240" w:after="60"/>
      <w:jc w:val="center"/>
      <w:outlineLvl w:val="0"/>
    </w:pPr>
    <w:rPr>
      <w:rFonts w:ascii="Cambria" w:hAnsi="Cambria"/>
      <w:b/>
      <w:bCs/>
      <w:sz w:val="32"/>
      <w:szCs w:val="32"/>
    </w:rPr>
  </w:style>
  <w:style w:type="paragraph" w:styleId="14">
    <w:name w:val="annotation subject"/>
    <w:basedOn w:val="4"/>
    <w:next w:val="4"/>
    <w:link w:val="36"/>
    <w:semiHidden/>
    <w:unhideWhenUsed/>
    <w:qFormat/>
    <w:locked/>
    <w:uiPriority w:val="99"/>
    <w:pPr>
      <w:adjustRightInd/>
      <w:snapToGrid/>
      <w:spacing w:line="240" w:lineRule="auto"/>
      <w:ind w:firstLine="0"/>
    </w:pPr>
    <w:rPr>
      <w:rFonts w:ascii="Calibri" w:hAnsi="Calibri"/>
      <w:b/>
      <w:bCs/>
      <w:szCs w:val="22"/>
    </w:rPr>
  </w:style>
  <w:style w:type="table" w:styleId="16">
    <w:name w:val="Table Grid"/>
    <w:basedOn w:val="15"/>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page number"/>
    <w:qFormat/>
    <w:uiPriority w:val="99"/>
    <w:rPr>
      <w:rFonts w:cs="Times New Roman"/>
    </w:rPr>
  </w:style>
  <w:style w:type="character" w:styleId="19">
    <w:name w:val="Emphasis"/>
    <w:basedOn w:val="17"/>
    <w:qFormat/>
    <w:uiPriority w:val="0"/>
    <w:rPr>
      <w:i/>
      <w:iCs/>
    </w:rPr>
  </w:style>
  <w:style w:type="character" w:styleId="20">
    <w:name w:val="Hyperlink"/>
    <w:basedOn w:val="17"/>
    <w:unhideWhenUsed/>
    <w:qFormat/>
    <w:locked/>
    <w:uiPriority w:val="99"/>
    <w:rPr>
      <w:color w:val="0000FF" w:themeColor="hyperlink"/>
      <w:u w:val="single"/>
      <w14:textFill>
        <w14:solidFill>
          <w14:schemeClr w14:val="hlink"/>
        </w14:solidFill>
      </w14:textFill>
    </w:rPr>
  </w:style>
  <w:style w:type="character" w:styleId="21">
    <w:name w:val="annotation reference"/>
    <w:basedOn w:val="17"/>
    <w:semiHidden/>
    <w:unhideWhenUsed/>
    <w:qFormat/>
    <w:locked/>
    <w:uiPriority w:val="99"/>
    <w:rPr>
      <w:sz w:val="21"/>
      <w:szCs w:val="21"/>
    </w:rPr>
  </w:style>
  <w:style w:type="character" w:customStyle="1" w:styleId="22">
    <w:name w:val="标题 2 Char"/>
    <w:basedOn w:val="17"/>
    <w:link w:val="3"/>
    <w:semiHidden/>
    <w:qFormat/>
    <w:uiPriority w:val="0"/>
    <w:rPr>
      <w:rFonts w:asciiTheme="majorHAnsi" w:hAnsiTheme="majorHAnsi" w:eastAsiaTheme="majorEastAsia" w:cstheme="majorBidi"/>
      <w:b/>
      <w:bCs/>
      <w:kern w:val="2"/>
      <w:sz w:val="32"/>
      <w:szCs w:val="32"/>
    </w:rPr>
  </w:style>
  <w:style w:type="character" w:customStyle="1" w:styleId="23">
    <w:name w:val="页脚 Char"/>
    <w:link w:val="9"/>
    <w:semiHidden/>
    <w:qFormat/>
    <w:locked/>
    <w:uiPriority w:val="99"/>
    <w:rPr>
      <w:rFonts w:ascii="Calibri" w:hAnsi="Calibri" w:cs="Times New Roman"/>
      <w:sz w:val="18"/>
      <w:szCs w:val="18"/>
    </w:rPr>
  </w:style>
  <w:style w:type="character" w:customStyle="1" w:styleId="24">
    <w:name w:val="页眉 Char"/>
    <w:link w:val="10"/>
    <w:semiHidden/>
    <w:qFormat/>
    <w:locked/>
    <w:uiPriority w:val="99"/>
    <w:rPr>
      <w:rFonts w:ascii="Calibri" w:hAnsi="Calibri" w:cs="Times New Roman"/>
      <w:sz w:val="18"/>
      <w:szCs w:val="18"/>
    </w:rPr>
  </w:style>
  <w:style w:type="character" w:customStyle="1" w:styleId="25">
    <w:name w:val="标题 Char"/>
    <w:link w:val="13"/>
    <w:qFormat/>
    <w:locked/>
    <w:uiPriority w:val="99"/>
    <w:rPr>
      <w:rFonts w:ascii="Cambria" w:hAnsi="Cambria" w:eastAsia="宋体" w:cs="Times New Roman"/>
      <w:b/>
      <w:kern w:val="2"/>
      <w:sz w:val="32"/>
    </w:rPr>
  </w:style>
  <w:style w:type="paragraph" w:customStyle="1" w:styleId="26">
    <w:name w:val="无间隔1"/>
    <w:qFormat/>
    <w:uiPriority w:val="99"/>
    <w:pPr>
      <w:widowControl w:val="0"/>
      <w:jc w:val="both"/>
    </w:pPr>
    <w:rPr>
      <w:rFonts w:ascii="Calibri" w:hAnsi="Calibri" w:eastAsia="宋体" w:cs="Times New Roman"/>
      <w:kern w:val="2"/>
      <w:sz w:val="21"/>
      <w:szCs w:val="22"/>
      <w:lang w:val="en-US" w:eastAsia="zh-CN" w:bidi="ar-SA"/>
    </w:rPr>
  </w:style>
  <w:style w:type="paragraph" w:styleId="27">
    <w:name w:val="List Paragraph"/>
    <w:basedOn w:val="1"/>
    <w:qFormat/>
    <w:uiPriority w:val="34"/>
    <w:pPr>
      <w:ind w:firstLine="420" w:firstLineChars="200"/>
    </w:pPr>
  </w:style>
  <w:style w:type="character" w:customStyle="1" w:styleId="28">
    <w:name w:val="批注文字 Char"/>
    <w:link w:val="4"/>
    <w:qFormat/>
    <w:locked/>
    <w:uiPriority w:val="99"/>
    <w:rPr>
      <w:rFonts w:cs="Times New Roman"/>
      <w:kern w:val="2"/>
      <w:sz w:val="21"/>
      <w:szCs w:val="21"/>
    </w:rPr>
  </w:style>
  <w:style w:type="paragraph" w:customStyle="1" w:styleId="29">
    <w:name w:val="p0"/>
    <w:basedOn w:val="1"/>
    <w:qFormat/>
    <w:uiPriority w:val="99"/>
    <w:pPr>
      <w:widowControl/>
      <w:snapToGrid w:val="0"/>
      <w:spacing w:line="310" w:lineRule="atLeast"/>
      <w:ind w:firstLine="425"/>
    </w:pPr>
    <w:rPr>
      <w:rFonts w:ascii="Times New Roman" w:hAnsi="Times New Roman"/>
      <w:kern w:val="0"/>
      <w:szCs w:val="21"/>
    </w:rPr>
  </w:style>
  <w:style w:type="character" w:customStyle="1" w:styleId="30">
    <w:name w:val="纯文本 Char"/>
    <w:link w:val="6"/>
    <w:qFormat/>
    <w:locked/>
    <w:uiPriority w:val="99"/>
    <w:rPr>
      <w:rFonts w:ascii="宋体" w:eastAsia="宋体" w:cs="宋体"/>
      <w:sz w:val="24"/>
      <w:szCs w:val="24"/>
    </w:rPr>
  </w:style>
  <w:style w:type="paragraph" w:customStyle="1" w:styleId="31">
    <w:name w:val="msolistparagraph"/>
    <w:basedOn w:val="1"/>
    <w:qFormat/>
    <w:uiPriority w:val="99"/>
    <w:pPr>
      <w:widowControl/>
      <w:spacing w:before="120" w:after="240"/>
      <w:ind w:firstLine="420" w:firstLineChars="200"/>
    </w:pPr>
    <w:rPr>
      <w:sz w:val="22"/>
    </w:rPr>
  </w:style>
  <w:style w:type="character" w:customStyle="1" w:styleId="32">
    <w:name w:val="批注框文本 Char"/>
    <w:basedOn w:val="17"/>
    <w:link w:val="8"/>
    <w:semiHidden/>
    <w:qFormat/>
    <w:uiPriority w:val="99"/>
    <w:rPr>
      <w:rFonts w:ascii="Calibri" w:hAnsi="Calibri"/>
      <w:kern w:val="2"/>
      <w:sz w:val="18"/>
      <w:szCs w:val="18"/>
    </w:rPr>
  </w:style>
  <w:style w:type="character" w:customStyle="1" w:styleId="33">
    <w:name w:val="正文文本 Char"/>
    <w:basedOn w:val="17"/>
    <w:link w:val="5"/>
    <w:qFormat/>
    <w:uiPriority w:val="99"/>
    <w:rPr>
      <w:rFonts w:ascii="Calibri" w:hAnsi="Calibri" w:eastAsia="宋体" w:cs="Times New Roman"/>
      <w:kern w:val="2"/>
      <w:sz w:val="21"/>
      <w:szCs w:val="22"/>
    </w:rPr>
  </w:style>
  <w:style w:type="paragraph" w:customStyle="1" w:styleId="34">
    <w:name w:val="Table Paragraph"/>
    <w:basedOn w:val="1"/>
    <w:qFormat/>
    <w:uiPriority w:val="1"/>
    <w:pPr>
      <w:autoSpaceDE w:val="0"/>
      <w:autoSpaceDN w:val="0"/>
      <w:jc w:val="left"/>
    </w:pPr>
    <w:rPr>
      <w:rFonts w:ascii="宋体" w:hAnsi="宋体" w:cs="宋体"/>
      <w:kern w:val="0"/>
      <w:sz w:val="22"/>
      <w:lang w:val="zh-CN" w:bidi="zh-CN"/>
    </w:rPr>
  </w:style>
  <w:style w:type="table" w:customStyle="1" w:styleId="35">
    <w:name w:val="Table Normal"/>
    <w:semiHidden/>
    <w:qFormat/>
    <w:uiPriority w:val="2"/>
    <w:pPr>
      <w:widowControl w:val="0"/>
      <w:autoSpaceDE w:val="0"/>
      <w:autoSpaceDN w:val="0"/>
    </w:pPr>
    <w:rPr>
      <w:rFonts w:eastAsia="Times New Roman"/>
      <w:sz w:val="22"/>
      <w:szCs w:val="22"/>
      <w:lang w:eastAsia="en-US"/>
    </w:rPr>
    <w:tblPr>
      <w:tblCellMar>
        <w:top w:w="0" w:type="dxa"/>
        <w:left w:w="0" w:type="dxa"/>
        <w:bottom w:w="0" w:type="dxa"/>
        <w:right w:w="0" w:type="dxa"/>
      </w:tblCellMar>
    </w:tblPr>
  </w:style>
  <w:style w:type="character" w:customStyle="1" w:styleId="36">
    <w:name w:val="批注主题 Char"/>
    <w:basedOn w:val="28"/>
    <w:link w:val="14"/>
    <w:semiHidden/>
    <w:qFormat/>
    <w:uiPriority w:val="99"/>
    <w:rPr>
      <w:rFonts w:ascii="Calibri" w:hAnsi="Calibri" w:eastAsia="宋体" w:cs="Times New Roman"/>
      <w:b/>
      <w:bCs/>
      <w:kern w:val="2"/>
      <w:sz w:val="21"/>
      <w:szCs w:val="22"/>
    </w:rPr>
  </w:style>
  <w:style w:type="paragraph" w:customStyle="1" w:styleId="37">
    <w:name w:val="修订1"/>
    <w:hidden/>
    <w:unhideWhenUsed/>
    <w:qFormat/>
    <w:uiPriority w:val="99"/>
    <w:rPr>
      <w:rFonts w:ascii="Calibri" w:hAnsi="Calibri" w:eastAsia="宋体" w:cs="Times New Roman"/>
      <w:kern w:val="2"/>
      <w:sz w:val="21"/>
      <w:szCs w:val="22"/>
      <w:lang w:val="en-US" w:eastAsia="zh-CN" w:bidi="ar-SA"/>
    </w:rPr>
  </w:style>
  <w:style w:type="character" w:customStyle="1" w:styleId="38">
    <w:name w:val="日期 Char"/>
    <w:basedOn w:val="17"/>
    <w:link w:val="7"/>
    <w:semiHidden/>
    <w:qFormat/>
    <w:uiPriority w:val="99"/>
    <w:rPr>
      <w:rFonts w:ascii="Calibri" w:hAnsi="Calibri" w:eastAsia="宋体" w:cs="Times New Roman"/>
      <w:kern w:val="2"/>
      <w:sz w:val="21"/>
      <w:szCs w:val="22"/>
    </w:rPr>
  </w:style>
  <w:style w:type="character" w:customStyle="1" w:styleId="39">
    <w:name w:val="标题 1 Char"/>
    <w:basedOn w:val="17"/>
    <w:link w:val="2"/>
    <w:qFormat/>
    <w:uiPriority w:val="0"/>
    <w:rPr>
      <w:rFonts w:ascii="Calibri" w:hAnsi="Calibri" w:eastAsia="宋体" w:cs="Times New Roman"/>
      <w:b/>
      <w:bCs/>
      <w:kern w:val="44"/>
      <w:sz w:val="44"/>
      <w:szCs w:val="44"/>
    </w:rPr>
  </w:style>
  <w:style w:type="paragraph" w:customStyle="1" w:styleId="40">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41">
    <w:name w:val="font51"/>
    <w:basedOn w:val="17"/>
    <w:qFormat/>
    <w:uiPriority w:val="0"/>
    <w:rPr>
      <w:rFonts w:hint="eastAsia" w:ascii="宋体" w:hAnsi="宋体" w:eastAsia="宋体" w:cs="宋体"/>
      <w:color w:val="000000"/>
      <w:sz w:val="20"/>
      <w:szCs w:val="20"/>
      <w:u w:val="none"/>
    </w:rPr>
  </w:style>
  <w:style w:type="character" w:customStyle="1" w:styleId="42">
    <w:name w:val="font11"/>
    <w:basedOn w:val="17"/>
    <w:qFormat/>
    <w:uiPriority w:val="0"/>
    <w:rPr>
      <w:rFonts w:hint="eastAsia" w:ascii="宋体" w:hAnsi="宋体" w:eastAsia="宋体" w:cs="宋体"/>
      <w:color w:val="000000"/>
      <w:sz w:val="20"/>
      <w:szCs w:val="20"/>
      <w:u w:val="none"/>
    </w:rPr>
  </w:style>
  <w:style w:type="paragraph" w:customStyle="1" w:styleId="43">
    <w:name w:val="Default"/>
    <w:qFormat/>
    <w:uiPriority w:val="0"/>
    <w:pPr>
      <w:widowControl w:val="0"/>
      <w:autoSpaceDE w:val="0"/>
      <w:autoSpaceDN w:val="0"/>
      <w:adjustRightInd w:val="0"/>
    </w:pPr>
    <w:rPr>
      <w:rFonts w:ascii="方正仿宋_GBK" w:hAnsi="方正仿宋_GBK" w:eastAsia="宋体" w:cs="方正仿宋_GBK"/>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D040D-B4F3-4453-9429-657A6F7A5E73}">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29</Pages>
  <Words>12733</Words>
  <Characters>13415</Characters>
  <Lines>125</Lines>
  <Paragraphs>35</Paragraphs>
  <TotalTime>40</TotalTime>
  <ScaleCrop>false</ScaleCrop>
  <LinksUpToDate>false</LinksUpToDate>
  <CharactersWithSpaces>14098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2019-07-10T13:56:00Z</dcterms:created>
  <dc:creator>tong</dc:creator>
  <cp:lastModifiedBy>tanco</cp:lastModifiedBy>
  <cp:lastPrinted>2022-05-17T03:51:00Z</cp:lastPrinted>
  <dcterms:modified xsi:type="dcterms:W3CDTF">2024-06-11T03:39:01Z</dcterms:modified>
  <cp:revision>293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1E42D3DDF91647ED8026BED731EED6C0_13</vt:lpwstr>
  </property>
</Properties>
</file>